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26" w:rsidRPr="00BF08D3" w:rsidRDefault="00437D78" w:rsidP="00197D62">
      <w:pPr>
        <w:pStyle w:val="NoSpacing"/>
        <w:spacing w:before="0"/>
      </w:pPr>
      <w:r>
        <w:t xml:space="preserve">Góð </w:t>
      </w:r>
      <w:r w:rsidR="00851946">
        <w:t>Afkoma</w:t>
      </w:r>
      <w:r>
        <w:t xml:space="preserve"> icelandair group</w:t>
      </w:r>
      <w:r w:rsidR="00851946">
        <w:t xml:space="preserve"> </w:t>
      </w:r>
      <w:r w:rsidR="00417B2A">
        <w:t>á 3. ársfjórðungi</w:t>
      </w:r>
    </w:p>
    <w:p w:rsidR="001B3726" w:rsidRPr="00B338CF" w:rsidRDefault="00BF08D3" w:rsidP="001B0C29">
      <w:pPr>
        <w:pStyle w:val="Heading2"/>
      </w:pPr>
      <w:r w:rsidRPr="00B338CF">
        <w:t>Hagnaður eftir</w:t>
      </w:r>
      <w:r w:rsidR="001B3726" w:rsidRPr="00B338CF">
        <w:t xml:space="preserve"> skatta nam </w:t>
      </w:r>
      <w:r w:rsidR="00AD72C8">
        <w:t>85</w:t>
      </w:r>
      <w:r w:rsidR="001B3726" w:rsidRPr="00B338CF">
        <w:t>,</w:t>
      </w:r>
      <w:r w:rsidR="00AD72C8">
        <w:t>8</w:t>
      </w:r>
      <w:r w:rsidR="001B3726" w:rsidRPr="00B338CF">
        <w:t xml:space="preserve"> milljónum USD</w:t>
      </w:r>
      <w:r w:rsidR="00AD72C8">
        <w:t xml:space="preserve"> samanborið við 65</w:t>
      </w:r>
      <w:r w:rsidR="006B67FE" w:rsidRPr="00B338CF">
        <w:t>,</w:t>
      </w:r>
      <w:r w:rsidR="00AD72C8">
        <w:t>3</w:t>
      </w:r>
      <w:r w:rsidR="006B67FE" w:rsidRPr="00B338CF">
        <w:t xml:space="preserve"> milljónir USD árið áður</w:t>
      </w:r>
      <w:r w:rsidR="001B3726" w:rsidRPr="00B338CF">
        <w:t>.</w:t>
      </w:r>
    </w:p>
    <w:p w:rsidR="001B3726" w:rsidRPr="00B338CF" w:rsidRDefault="001B3726" w:rsidP="001B0C29">
      <w:pPr>
        <w:pStyle w:val="Heading2"/>
      </w:pPr>
      <w:r w:rsidRPr="00B338CF">
        <w:t xml:space="preserve">EBITDA </w:t>
      </w:r>
      <w:r w:rsidR="00E74A8C" w:rsidRPr="00B338CF">
        <w:t>nam</w:t>
      </w:r>
      <w:r w:rsidRPr="00B338CF">
        <w:t xml:space="preserve"> </w:t>
      </w:r>
      <w:r w:rsidR="00AD72C8">
        <w:t>123</w:t>
      </w:r>
      <w:r w:rsidRPr="00B338CF">
        <w:t>,</w:t>
      </w:r>
      <w:r w:rsidR="00AD72C8">
        <w:t>9</w:t>
      </w:r>
      <w:r w:rsidR="00E74A8C" w:rsidRPr="00B338CF">
        <w:t xml:space="preserve"> milljónum</w:t>
      </w:r>
      <w:r w:rsidRPr="00B338CF">
        <w:t xml:space="preserve"> USD</w:t>
      </w:r>
      <w:r w:rsidR="006B67FE" w:rsidRPr="00B338CF">
        <w:t xml:space="preserve"> samanborið við </w:t>
      </w:r>
      <w:r w:rsidR="00AD72C8">
        <w:t>102</w:t>
      </w:r>
      <w:r w:rsidR="006B67FE" w:rsidRPr="00B338CF">
        <w:t>,</w:t>
      </w:r>
      <w:r w:rsidR="00AD72C8">
        <w:t>2</w:t>
      </w:r>
      <w:r w:rsidR="006B67FE" w:rsidRPr="00B338CF">
        <w:t xml:space="preserve"> milljónir USD árið áður</w:t>
      </w:r>
      <w:r w:rsidRPr="00B338CF">
        <w:t xml:space="preserve">. </w:t>
      </w:r>
    </w:p>
    <w:p w:rsidR="006B67FE" w:rsidRPr="00B338CF" w:rsidRDefault="006B67FE" w:rsidP="001B0C29">
      <w:pPr>
        <w:pStyle w:val="Heading2"/>
      </w:pPr>
      <w:r w:rsidRPr="00B338CF">
        <w:t>Heildartekjur jukust um 1</w:t>
      </w:r>
      <w:r w:rsidR="00AD72C8">
        <w:t>3</w:t>
      </w:r>
      <w:r w:rsidRPr="00B338CF">
        <w:t>%.</w:t>
      </w:r>
    </w:p>
    <w:p w:rsidR="001B3726" w:rsidRPr="00B338CF" w:rsidRDefault="00AD72C8" w:rsidP="001B0C29">
      <w:pPr>
        <w:pStyle w:val="Heading2"/>
      </w:pPr>
      <w:r>
        <w:t>Eiginfjárhlutfall 46</w:t>
      </w:r>
      <w:r w:rsidR="001B3726" w:rsidRPr="00B338CF">
        <w:t>%</w:t>
      </w:r>
      <w:r w:rsidR="006B67FE" w:rsidRPr="00B338CF">
        <w:t xml:space="preserve"> í lok </w:t>
      </w:r>
      <w:r>
        <w:t>september</w:t>
      </w:r>
      <w:r w:rsidR="001B3726" w:rsidRPr="00B338CF">
        <w:t>.</w:t>
      </w:r>
    </w:p>
    <w:p w:rsidR="001B3726" w:rsidRPr="00B338CF" w:rsidRDefault="001B3726" w:rsidP="001B0C29">
      <w:pPr>
        <w:pStyle w:val="Heading2"/>
      </w:pPr>
      <w:r w:rsidRPr="00B338CF">
        <w:t xml:space="preserve">Handbært fé frá rekstri </w:t>
      </w:r>
      <w:r w:rsidR="00AD72C8">
        <w:t>5</w:t>
      </w:r>
      <w:r w:rsidRPr="00B338CF">
        <w:t>,</w:t>
      </w:r>
      <w:r w:rsidR="00AD72C8">
        <w:t>8</w:t>
      </w:r>
      <w:r w:rsidR="00BF08D3" w:rsidRPr="00B338CF">
        <w:t xml:space="preserve"> milljónir USD samanborið við </w:t>
      </w:r>
      <w:r w:rsidR="00AD72C8">
        <w:t>30</w:t>
      </w:r>
      <w:r w:rsidRPr="00B338CF">
        <w:t>,</w:t>
      </w:r>
      <w:r w:rsidR="00AD72C8">
        <w:t>3</w:t>
      </w:r>
      <w:r w:rsidRPr="00B338CF">
        <w:t xml:space="preserve"> milljón</w:t>
      </w:r>
      <w:r w:rsidR="004D0675" w:rsidRPr="00B338CF">
        <w:t>ir</w:t>
      </w:r>
      <w:r w:rsidRPr="00B338CF">
        <w:t xml:space="preserve"> USD árið áður.</w:t>
      </w:r>
    </w:p>
    <w:p w:rsidR="002D0575" w:rsidRPr="000F0B3A" w:rsidRDefault="002D0575">
      <w:pPr>
        <w:spacing w:after="200"/>
        <w:rPr>
          <w:highlight w:val="yellow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780"/>
        <w:gridCol w:w="780"/>
        <w:gridCol w:w="780"/>
        <w:gridCol w:w="780"/>
        <w:gridCol w:w="220"/>
        <w:gridCol w:w="780"/>
        <w:gridCol w:w="780"/>
        <w:gridCol w:w="880"/>
        <w:gridCol w:w="680"/>
      </w:tblGrid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Þúsundir USD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             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          2013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Breyt.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% Breyt.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9 mán.        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9 mán.        2013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Breyt.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% Breyt.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Rekstrarreikningur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Heildartekjur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418.746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371.662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47.084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13%</w:t>
            </w:r>
          </w:p>
        </w:tc>
        <w:tc>
          <w:tcPr>
            <w:tcW w:w="22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907.816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810.307</w:t>
            </w:r>
          </w:p>
        </w:tc>
        <w:tc>
          <w:tcPr>
            <w:tcW w:w="8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97.509</w:t>
            </w:r>
          </w:p>
        </w:tc>
        <w:tc>
          <w:tcPr>
            <w:tcW w:w="6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12%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EBITDAR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134.541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114.316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20.225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18%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186.322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173.049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13.273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EBITDA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123.883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102.243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21.640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21%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155.819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136.865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18.954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14%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EBIT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102.515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82.170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20.345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25%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97.765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83.941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13.824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16%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EBT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106.189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81.851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24.338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30%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97.603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82.233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15.370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19%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Hagnaður tímabilsins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85.801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65.325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20.476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31%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81.473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65.526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15.947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24%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Efnahagsreikningur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Heildareignir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22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877.233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877.490</w:t>
            </w:r>
          </w:p>
        </w:tc>
        <w:tc>
          <w:tcPr>
            <w:tcW w:w="8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-257</w:t>
            </w:r>
          </w:p>
        </w:tc>
        <w:tc>
          <w:tcPr>
            <w:tcW w:w="6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Eigið fé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403.607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352.226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51.381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15%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Vaxtaberandi skuldir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55.469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128.462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-72.993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-57%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Handbært fé og markaðsverðbréf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254.695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218.336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36.359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17%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Nettó vaxtaberandi skuldir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-199.226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-89.874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-109.352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122%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Sjóðstreymi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Veltufé frá rekstri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135.211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111.138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24.073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22%</w:t>
            </w:r>
          </w:p>
        </w:tc>
        <w:tc>
          <w:tcPr>
            <w:tcW w:w="22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172.932</w:t>
            </w:r>
          </w:p>
        </w:tc>
        <w:tc>
          <w:tcPr>
            <w:tcW w:w="7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157.811</w:t>
            </w:r>
          </w:p>
        </w:tc>
        <w:tc>
          <w:tcPr>
            <w:tcW w:w="8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15.121</w:t>
            </w:r>
          </w:p>
        </w:tc>
        <w:tc>
          <w:tcPr>
            <w:tcW w:w="680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Handbært fé frá rekstri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5.767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30.272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-24.505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-81%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210.763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215.161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-4.398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-2%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Fjárfestingahreyfingar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-38.383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-24.288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-14.095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58%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-86.338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-80.560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-5.778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Fjármögnunarhreyfingar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-3.622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-10.361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6.739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-65%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-85.676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-37.290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-48.386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130%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Handbært fé í lok tímabils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227.576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215.484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12.092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6%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227.576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48756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215.48</w:t>
            </w:r>
            <w:r w:rsidR="0048756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48756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12.09</w:t>
            </w:r>
            <w:r w:rsidR="0048756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Lykiltölur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Afkoma USD cent á hlut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1,73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1,32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0,41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31%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1,64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1,32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0,32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24%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Innra virði hlutafjár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9,95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8,68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1,27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15%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Eiginfjárhlutfall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46%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40%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5,9 </w:t>
            </w:r>
            <w:r w:rsidR="0061184A" w:rsidRPr="0061184A">
              <w:rPr>
                <w:rFonts w:eastAsia="Times New Roman" w:cs="Arial"/>
                <w:color w:val="595959"/>
                <w:sz w:val="12"/>
                <w:szCs w:val="12"/>
                <w:lang w:eastAsia="is-IS"/>
              </w:rPr>
              <w:t>%-stig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Veltufjárhlutfall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1,03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0,98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0,05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Fjárfestingar, þúsundir USD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48756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28.27</w:t>
            </w:r>
            <w:r w:rsidR="0048756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23.376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4.89</w:t>
            </w:r>
            <w:r w:rsidR="0048756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21%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024591" w:rsidRPr="00024591" w:rsidRDefault="00024591" w:rsidP="0048756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69.</w:t>
            </w:r>
            <w:r w:rsidR="00487568"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87</w:t>
            </w:r>
            <w:r w:rsidR="0048756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93.707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48756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-23.83</w:t>
            </w:r>
            <w:r w:rsidR="0048756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-25%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Flutningatekjur % af heildartekjum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77%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71%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6118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5,5 </w:t>
            </w:r>
            <w:r w:rsidR="0061184A" w:rsidRPr="0061184A">
              <w:rPr>
                <w:rFonts w:eastAsia="Times New Roman" w:cs="Arial"/>
                <w:color w:val="595959"/>
                <w:sz w:val="12"/>
                <w:szCs w:val="12"/>
                <w:lang w:eastAsia="is-IS"/>
              </w:rPr>
              <w:t>%-stig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73%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69%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3,5 </w:t>
            </w:r>
            <w:r w:rsidR="0061184A" w:rsidRPr="0061184A">
              <w:rPr>
                <w:rFonts w:eastAsia="Times New Roman" w:cs="Arial"/>
                <w:color w:val="595959"/>
                <w:sz w:val="12"/>
                <w:szCs w:val="12"/>
                <w:lang w:eastAsia="is-IS"/>
              </w:rPr>
              <w:t>%-stig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EBITDAR hlutfall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32,1%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30,8%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1,4 </w:t>
            </w:r>
            <w:r w:rsidR="0061184A" w:rsidRPr="0061184A">
              <w:rPr>
                <w:rFonts w:eastAsia="Times New Roman" w:cs="Arial"/>
                <w:color w:val="595959"/>
                <w:sz w:val="12"/>
                <w:szCs w:val="12"/>
                <w:lang w:eastAsia="is-IS"/>
              </w:rPr>
              <w:t>%-stig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20,5%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21,4%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-0,8 </w:t>
            </w:r>
            <w:r w:rsidR="0061184A" w:rsidRPr="0061184A">
              <w:rPr>
                <w:rFonts w:eastAsia="Times New Roman" w:cs="Arial"/>
                <w:color w:val="595959"/>
                <w:sz w:val="12"/>
                <w:szCs w:val="12"/>
                <w:lang w:eastAsia="is-IS"/>
              </w:rPr>
              <w:t>%-stig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EBITDA hlutfall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29,6%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27,5%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2,1 </w:t>
            </w:r>
            <w:r w:rsidR="0061184A" w:rsidRPr="0061184A">
              <w:rPr>
                <w:rFonts w:eastAsia="Times New Roman" w:cs="Arial"/>
                <w:color w:val="595959"/>
                <w:sz w:val="12"/>
                <w:szCs w:val="12"/>
                <w:lang w:eastAsia="is-IS"/>
              </w:rPr>
              <w:t>%-stig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17,2%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16,9%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0,3 </w:t>
            </w:r>
            <w:r w:rsidR="0061184A" w:rsidRPr="0061184A">
              <w:rPr>
                <w:rFonts w:eastAsia="Times New Roman" w:cs="Arial"/>
                <w:color w:val="595959"/>
                <w:sz w:val="12"/>
                <w:szCs w:val="12"/>
                <w:lang w:eastAsia="is-IS"/>
              </w:rPr>
              <w:t>%-stig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Hlutabréf íslenskar krónur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proofErr w:type="spellStart"/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Hæsta</w:t>
            </w:r>
            <w:proofErr w:type="spellEnd"/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 verð á tímabili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18,85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15,30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3,55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23%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19,95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15,30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4,65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30%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Lægsta verð á tímabili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16,85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13,00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3,85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30%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16,45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8,28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8,17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99%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Lokaverð tímabils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17,35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15,20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2,15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14%</w:t>
            </w:r>
          </w:p>
        </w:tc>
      </w:tr>
      <w:tr w:rsidR="00024591" w:rsidRPr="00024591" w:rsidTr="0061184A">
        <w:trPr>
          <w:trHeight w:val="225"/>
        </w:trPr>
        <w:tc>
          <w:tcPr>
            <w:tcW w:w="27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Markaðsvirði í lok tímabils (milljónir)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86.750</w:t>
            </w:r>
          </w:p>
        </w:tc>
        <w:tc>
          <w:tcPr>
            <w:tcW w:w="7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76.000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10.750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024591" w:rsidRPr="00024591" w:rsidRDefault="00024591" w:rsidP="00024591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024591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14%</w:t>
            </w:r>
          </w:p>
        </w:tc>
      </w:tr>
    </w:tbl>
    <w:p w:rsidR="00F36538" w:rsidRPr="000F0B3A" w:rsidRDefault="00F36538">
      <w:pPr>
        <w:spacing w:after="200"/>
        <w:rPr>
          <w:highlight w:val="yellow"/>
        </w:rPr>
      </w:pPr>
    </w:p>
    <w:p w:rsidR="005D3FCF" w:rsidRPr="000F0B3A" w:rsidRDefault="005D3FCF">
      <w:pPr>
        <w:spacing w:after="200"/>
        <w:rPr>
          <w:b/>
          <w:caps/>
          <w:highlight w:val="yellow"/>
        </w:rPr>
      </w:pPr>
      <w:r w:rsidRPr="000F0B3A">
        <w:rPr>
          <w:highlight w:val="yellow"/>
        </w:rPr>
        <w:br w:type="page"/>
      </w:r>
    </w:p>
    <w:p w:rsidR="001B3726" w:rsidRPr="00E455C6" w:rsidRDefault="001B3726" w:rsidP="004F4138">
      <w:pPr>
        <w:pStyle w:val="NoSpacing"/>
      </w:pPr>
      <w:r w:rsidRPr="00E455C6">
        <w:lastRenderedPageBreak/>
        <w:t>BJÖRGÓLFUR JÓHANNSSON, FORSTJÓRI</w:t>
      </w:r>
    </w:p>
    <w:p w:rsidR="00851946" w:rsidRDefault="00051D7D" w:rsidP="00851946">
      <w:r>
        <w:t>„</w:t>
      </w:r>
      <w:r w:rsidR="00CB1ACE">
        <w:t xml:space="preserve">Millilandaflug </w:t>
      </w:r>
      <w:r w:rsidR="00851946">
        <w:t>félagsins gekk vel á þriðja ársfjórðungi og var</w:t>
      </w:r>
      <w:r w:rsidR="00CB1ACE">
        <w:t xml:space="preserve"> afkoma </w:t>
      </w:r>
      <w:r w:rsidR="00035D62">
        <w:t>þess</w:t>
      </w:r>
      <w:r w:rsidR="00851946">
        <w:t xml:space="preserve"> </w:t>
      </w:r>
      <w:r w:rsidR="00E6559E">
        <w:t>mjög góð</w:t>
      </w:r>
      <w:r w:rsidR="00851946">
        <w:t xml:space="preserve">. </w:t>
      </w:r>
      <w:r w:rsidR="00851946" w:rsidRPr="00E455C6">
        <w:t>Framboð</w:t>
      </w:r>
      <w:r w:rsidR="00851946">
        <w:t xml:space="preserve"> í leiðakerfinu</w:t>
      </w:r>
      <w:r w:rsidR="00851946" w:rsidRPr="00E455C6">
        <w:t xml:space="preserve"> var aukið um 19% </w:t>
      </w:r>
      <w:r w:rsidR="00851946">
        <w:t>frá fyrra ári</w:t>
      </w:r>
      <w:r w:rsidR="00851946" w:rsidRPr="00E455C6">
        <w:t xml:space="preserve">. Sætanýting </w:t>
      </w:r>
      <w:r w:rsidR="00851946">
        <w:t xml:space="preserve">var </w:t>
      </w:r>
      <w:r w:rsidR="00851946" w:rsidRPr="00E455C6">
        <w:t>84,2%, og jókst</w:t>
      </w:r>
      <w:r w:rsidR="00851946">
        <w:t xml:space="preserve"> um 0</w:t>
      </w:r>
      <w:r w:rsidR="00035D62">
        <w:t>,</w:t>
      </w:r>
      <w:r w:rsidR="00851946">
        <w:t>7 prósentustig</w:t>
      </w:r>
      <w:r w:rsidR="00851946" w:rsidRPr="00E455C6">
        <w:t xml:space="preserve"> </w:t>
      </w:r>
      <w:r w:rsidR="00851946">
        <w:t>frá fyrra ári. T</w:t>
      </w:r>
      <w:r w:rsidR="00851946" w:rsidRPr="00E455C6">
        <w:t>æplega 970 þúsund farþega</w:t>
      </w:r>
      <w:r w:rsidR="00851946">
        <w:t>r ferðuðust með félaginu</w:t>
      </w:r>
      <w:r w:rsidR="00851946" w:rsidRPr="00E455C6">
        <w:t xml:space="preserve"> í fjórðungnum</w:t>
      </w:r>
      <w:r w:rsidR="00851946">
        <w:t xml:space="preserve"> og hafa þeir aldrei verið fleiri.</w:t>
      </w:r>
      <w:r w:rsidR="00851946" w:rsidRPr="00E455C6">
        <w:t xml:space="preserve"> </w:t>
      </w:r>
      <w:r w:rsidR="00851946">
        <w:t>Aukin umsvif í millilandaflugi ásamt mikilli fjölgun ferðamanna til Íslands höfðu jákvæð áhrif á aðra starfsemi samstæðunnar.</w:t>
      </w:r>
    </w:p>
    <w:p w:rsidR="00851946" w:rsidRDefault="00851946" w:rsidP="00851946">
      <w:pPr>
        <w:rPr>
          <w:rFonts w:cs="Arial"/>
          <w:bCs/>
          <w:szCs w:val="20"/>
        </w:rPr>
      </w:pPr>
      <w:r w:rsidRPr="000B0D0A">
        <w:t xml:space="preserve">Hagnaður félagsins á þriðja ársfjórðungi nam 85,8 milljónum USD og jókst um 20,5 milljónir USD frá fyrra ári. </w:t>
      </w:r>
      <w:r w:rsidR="00B306D0">
        <w:t xml:space="preserve">Fjárhagslega er félagið mjög sterkt og tilbúið til þess að takast á við verkefni framtíðarinnar, en þegar hefur verið tilkynnt um áætlanir um 12% vöxt í </w:t>
      </w:r>
      <w:r w:rsidR="004E4028">
        <w:t>millilandaflugi</w:t>
      </w:r>
      <w:r w:rsidR="00B306D0">
        <w:t xml:space="preserve"> á næsta ári</w:t>
      </w:r>
      <w:r w:rsidRPr="000B0D0A">
        <w:rPr>
          <w:rFonts w:cs="Arial"/>
          <w:bCs/>
          <w:szCs w:val="20"/>
        </w:rPr>
        <w:t>.</w:t>
      </w:r>
    </w:p>
    <w:p w:rsidR="00042809" w:rsidRPr="004239BB" w:rsidRDefault="00C32D59" w:rsidP="00042809">
      <w:r>
        <w:t>Vegna góðs gengis á þriðja ársfjórðungi gerum við nú ráð fyrir að EBITDA ársins 2014 muni nema 150-155 milljónum USD sem er hækkun frá áður útgefinni afkomuspá</w:t>
      </w:r>
      <w:r w:rsidR="00042809">
        <w:t>.</w:t>
      </w:r>
      <w:r w:rsidR="00042809" w:rsidRPr="004239BB">
        <w:t>“</w:t>
      </w:r>
    </w:p>
    <w:p w:rsidR="00CB1ACE" w:rsidRDefault="00CB1ACE" w:rsidP="00851946"/>
    <w:p w:rsidR="00EC02A0" w:rsidRPr="00EC02A0" w:rsidRDefault="00EC02A0" w:rsidP="00851946"/>
    <w:p w:rsidR="001F276B" w:rsidRDefault="001F276B">
      <w:pPr>
        <w:spacing w:after="200"/>
        <w:jc w:val="left"/>
        <w:rPr>
          <w:b/>
          <w:caps/>
        </w:rPr>
      </w:pPr>
      <w:r>
        <w:br w:type="page"/>
      </w:r>
    </w:p>
    <w:p w:rsidR="001B3726" w:rsidRPr="00753FAB" w:rsidRDefault="001B3726" w:rsidP="004F4138">
      <w:pPr>
        <w:pStyle w:val="NoSpacing"/>
      </w:pPr>
      <w:r w:rsidRPr="00753FAB">
        <w:lastRenderedPageBreak/>
        <w:t>FLUTNINGATÖLUR</w:t>
      </w:r>
      <w:r w:rsidR="00652F52" w:rsidRPr="00753FAB">
        <w:t xml:space="preserve"> </w:t>
      </w:r>
      <w:r w:rsidR="00257815" w:rsidRPr="00753FAB">
        <w:t>þriðja</w:t>
      </w:r>
      <w:r w:rsidR="00652F52" w:rsidRPr="00753FAB">
        <w:t xml:space="preserve"> </w:t>
      </w:r>
      <w:r w:rsidR="007C246A" w:rsidRPr="00753FAB">
        <w:t>ársfjórðungs</w:t>
      </w:r>
    </w:p>
    <w:p w:rsidR="001B3726" w:rsidRPr="00753FAB" w:rsidRDefault="001B3726" w:rsidP="001B0C29">
      <w:pPr>
        <w:pStyle w:val="Heading2"/>
      </w:pPr>
      <w:r w:rsidRPr="00753FAB">
        <w:t xml:space="preserve">Farþegar í millilandaflugi voru </w:t>
      </w:r>
      <w:r w:rsidR="00D2554C" w:rsidRPr="00753FAB">
        <w:t>um 970</w:t>
      </w:r>
      <w:r w:rsidRPr="00753FAB">
        <w:t xml:space="preserve"> þúsund og fjölgaði um 1</w:t>
      </w:r>
      <w:r w:rsidR="00D2554C" w:rsidRPr="00753FAB">
        <w:t>8</w:t>
      </w:r>
      <w:r w:rsidRPr="00753FAB">
        <w:t>%</w:t>
      </w:r>
      <w:r w:rsidR="0018581D" w:rsidRPr="00753FAB">
        <w:t xml:space="preserve"> milli ára</w:t>
      </w:r>
      <w:r w:rsidRPr="00753FAB">
        <w:t>.</w:t>
      </w:r>
    </w:p>
    <w:p w:rsidR="00234F22" w:rsidRPr="00753FAB" w:rsidRDefault="001B3726" w:rsidP="00234F22">
      <w:pPr>
        <w:pStyle w:val="Heading2"/>
      </w:pPr>
      <w:r w:rsidRPr="00753FAB">
        <w:t>Seldum blokktímum í leiguflugsverkefnum fækkað</w:t>
      </w:r>
      <w:r w:rsidR="0018581D" w:rsidRPr="00753FAB">
        <w:t xml:space="preserve">i um </w:t>
      </w:r>
      <w:r w:rsidR="00D2554C" w:rsidRPr="00753FAB">
        <w:t>28</w:t>
      </w:r>
      <w:r w:rsidRPr="00753FAB">
        <w:t>% á milli ára.</w:t>
      </w:r>
    </w:p>
    <w:p w:rsidR="00234F22" w:rsidRPr="00753FAB" w:rsidRDefault="00234F22" w:rsidP="00F477E8">
      <w:pPr>
        <w:pStyle w:val="Heading2"/>
        <w:spacing w:after="240"/>
        <w:ind w:left="357" w:hanging="357"/>
      </w:pPr>
      <w:r w:rsidRPr="00753FAB">
        <w:t xml:space="preserve">Seldum gistinóttum á hótelum félagsins fjölgaði um </w:t>
      </w:r>
      <w:r w:rsidR="00D2554C" w:rsidRPr="00753FAB">
        <w:t>5</w:t>
      </w:r>
      <w:r w:rsidRPr="00753FAB">
        <w:t>% á milli ára</w:t>
      </w:r>
      <w:r w:rsidR="00F477E8" w:rsidRPr="00753FAB">
        <w:t>.</w:t>
      </w:r>
    </w:p>
    <w:tbl>
      <w:tblPr>
        <w:tblW w:w="6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1080"/>
        <w:gridCol w:w="1080"/>
        <w:gridCol w:w="1080"/>
      </w:tblGrid>
      <w:tr w:rsidR="00D2554C" w:rsidRPr="00753FAB" w:rsidTr="00D2554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3.ársfj.  ´14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753FA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753FA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'13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% </w:t>
            </w:r>
            <w:proofErr w:type="spellStart"/>
            <w:r w:rsidRPr="00753FA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br</w:t>
            </w:r>
            <w:proofErr w:type="spellEnd"/>
            <w:r w:rsidRPr="00753FA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</w:t>
            </w:r>
          </w:p>
        </w:tc>
      </w:tr>
      <w:tr w:rsidR="00D2554C" w:rsidRPr="00753FAB" w:rsidTr="00D2554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b/>
                <w:bCs/>
                <w:color w:val="5A5A5A"/>
                <w:sz w:val="16"/>
                <w:szCs w:val="16"/>
                <w:lang w:eastAsia="is-IS"/>
              </w:rPr>
              <w:t>MILLILANDAFLUG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auto"/>
                <w:sz w:val="22"/>
                <w:lang w:eastAsia="is-IS"/>
              </w:rPr>
            </w:pPr>
          </w:p>
        </w:tc>
      </w:tr>
      <w:tr w:rsidR="00D2554C" w:rsidRPr="00753FAB" w:rsidTr="00D2554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Farþegafjöldi (´000)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969,2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821,4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18%</w:t>
            </w:r>
          </w:p>
        </w:tc>
      </w:tr>
      <w:tr w:rsidR="00D2554C" w:rsidRPr="00753FAB" w:rsidTr="00D2554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Sætanýting (%)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84,2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83,5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0,7 </w:t>
            </w:r>
            <w:r w:rsidRPr="00753FA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>%-stig</w:t>
            </w:r>
          </w:p>
        </w:tc>
      </w:tr>
      <w:tr w:rsidR="00D2554C" w:rsidRPr="00753FAB" w:rsidTr="00D2554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Framboðnir sætiskílómetrar (´000.000)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3.444,8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2.885,7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19%</w:t>
            </w:r>
          </w:p>
        </w:tc>
      </w:tr>
      <w:tr w:rsidR="00D2554C" w:rsidRPr="00753FAB" w:rsidTr="00D2554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auto"/>
                <w:sz w:val="22"/>
                <w:lang w:eastAsia="is-I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auto"/>
                <w:sz w:val="22"/>
                <w:lang w:eastAsia="is-IS"/>
              </w:rPr>
            </w:pPr>
          </w:p>
        </w:tc>
      </w:tr>
      <w:tr w:rsidR="00D2554C" w:rsidRPr="00753FAB" w:rsidTr="00D2554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b/>
                <w:bCs/>
                <w:color w:val="5A5A5A"/>
                <w:sz w:val="16"/>
                <w:szCs w:val="16"/>
                <w:lang w:eastAsia="is-IS"/>
              </w:rPr>
              <w:t>INNANLANDS- OG GRÆNLANDSFLUG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auto"/>
                <w:sz w:val="22"/>
                <w:lang w:eastAsia="is-IS"/>
              </w:rPr>
            </w:pPr>
          </w:p>
        </w:tc>
      </w:tr>
      <w:tr w:rsidR="00D2554C" w:rsidRPr="00753FAB" w:rsidTr="00D2554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Farþegafjöldi (´000)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90,7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90,4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0%</w:t>
            </w:r>
          </w:p>
        </w:tc>
      </w:tr>
      <w:tr w:rsidR="00D2554C" w:rsidRPr="00753FAB" w:rsidTr="00D2554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Sætanýting (%)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73,6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73,0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0,6 </w:t>
            </w:r>
            <w:r w:rsidRPr="00753FA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>%-stig</w:t>
            </w:r>
          </w:p>
        </w:tc>
      </w:tr>
      <w:tr w:rsidR="00D2554C" w:rsidRPr="00753FAB" w:rsidTr="00D2554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Framboðnir sætiskílómetrar (´000.000)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54,0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53,9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0%</w:t>
            </w:r>
          </w:p>
        </w:tc>
      </w:tr>
      <w:tr w:rsidR="00D2554C" w:rsidRPr="00753FAB" w:rsidTr="00D2554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auto"/>
                <w:sz w:val="22"/>
                <w:lang w:eastAsia="is-I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auto"/>
                <w:sz w:val="22"/>
                <w:lang w:eastAsia="is-IS"/>
              </w:rPr>
            </w:pPr>
          </w:p>
        </w:tc>
      </w:tr>
      <w:tr w:rsidR="00D2554C" w:rsidRPr="00753FAB" w:rsidTr="00D2554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b/>
                <w:bCs/>
                <w:color w:val="5A5A5A"/>
                <w:sz w:val="16"/>
                <w:szCs w:val="16"/>
                <w:lang w:eastAsia="is-IS"/>
              </w:rPr>
              <w:t>LEIGUFLUG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auto"/>
                <w:sz w:val="22"/>
                <w:lang w:eastAsia="is-IS"/>
              </w:rPr>
            </w:pPr>
          </w:p>
        </w:tc>
      </w:tr>
      <w:tr w:rsidR="00D2554C" w:rsidRPr="00753FAB" w:rsidTr="00D2554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Flotanýting (%)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88,0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95,7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-7,7 </w:t>
            </w:r>
            <w:r w:rsidRPr="00753FA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>%-stig</w:t>
            </w:r>
          </w:p>
        </w:tc>
      </w:tr>
      <w:tr w:rsidR="00D2554C" w:rsidRPr="00753FAB" w:rsidTr="00D2554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Seldir blokktímar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5.298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7.325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-28%</w:t>
            </w:r>
          </w:p>
        </w:tc>
      </w:tr>
      <w:tr w:rsidR="00D2554C" w:rsidRPr="00D2554C" w:rsidTr="00D2554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auto"/>
                <w:sz w:val="22"/>
                <w:lang w:eastAsia="is-I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auto"/>
                <w:sz w:val="22"/>
                <w:lang w:eastAsia="is-IS"/>
              </w:rPr>
            </w:pPr>
          </w:p>
        </w:tc>
      </w:tr>
      <w:tr w:rsidR="00D2554C" w:rsidRPr="00753FAB" w:rsidTr="00D2554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b/>
                <w:bCs/>
                <w:color w:val="5A5A5A"/>
                <w:sz w:val="16"/>
                <w:szCs w:val="16"/>
                <w:lang w:eastAsia="is-IS"/>
              </w:rPr>
              <w:t>FRAKTFLUTNINGAR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auto"/>
                <w:sz w:val="22"/>
                <w:lang w:eastAsia="is-IS"/>
              </w:rPr>
            </w:pPr>
          </w:p>
        </w:tc>
      </w:tr>
      <w:tr w:rsidR="00D2554C" w:rsidRPr="00753FAB" w:rsidTr="00D2554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Framboðnir tonn kílómetrar (´000)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68.092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62.055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10%</w:t>
            </w:r>
          </w:p>
        </w:tc>
      </w:tr>
      <w:tr w:rsidR="00D2554C" w:rsidRPr="00753FAB" w:rsidTr="00D2554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Seldir tonn kílómetrar (´000)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23.732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23.209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2%</w:t>
            </w:r>
          </w:p>
        </w:tc>
      </w:tr>
      <w:tr w:rsidR="00D2554C" w:rsidRPr="00753FAB" w:rsidTr="00D2554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auto"/>
                <w:sz w:val="22"/>
                <w:lang w:eastAsia="is-I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auto"/>
                <w:sz w:val="22"/>
                <w:lang w:eastAsia="is-IS"/>
              </w:rPr>
            </w:pPr>
          </w:p>
        </w:tc>
      </w:tr>
      <w:tr w:rsidR="00D2554C" w:rsidRPr="00753FAB" w:rsidTr="00D2554C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b/>
                <w:bCs/>
                <w:color w:val="5A5A5A"/>
                <w:sz w:val="16"/>
                <w:szCs w:val="16"/>
                <w:lang w:eastAsia="is-IS"/>
              </w:rPr>
              <w:t>HÓTEL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ascii="Calibri" w:eastAsia="Times New Roman" w:hAnsi="Calibri" w:cs="Arial"/>
                <w:color w:val="auto"/>
                <w:sz w:val="22"/>
                <w:lang w:eastAsia="is-IS"/>
              </w:rPr>
            </w:pPr>
          </w:p>
        </w:tc>
      </w:tr>
      <w:tr w:rsidR="00D2554C" w:rsidRPr="00753FAB" w:rsidTr="00D2554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Framboðnar gistinætur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100.532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98.907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2%</w:t>
            </w:r>
          </w:p>
        </w:tc>
      </w:tr>
      <w:tr w:rsidR="00D2554C" w:rsidRPr="00753FAB" w:rsidTr="00D2554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Seldar gistinætur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87.476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83.420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5%</w:t>
            </w:r>
          </w:p>
        </w:tc>
      </w:tr>
      <w:tr w:rsidR="00D2554C" w:rsidRPr="00753FAB" w:rsidTr="00D2554C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Herbergjanýting (%)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87,0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 xml:space="preserve">84,3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D2554C" w:rsidRPr="00753FAB" w:rsidRDefault="00D2554C" w:rsidP="00D2554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753FA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2,7 </w:t>
            </w:r>
            <w:r w:rsidRPr="00753FA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>%-stig</w:t>
            </w:r>
          </w:p>
        </w:tc>
      </w:tr>
    </w:tbl>
    <w:p w:rsidR="004305BA" w:rsidRPr="00753FAB" w:rsidRDefault="004305BA" w:rsidP="004305BA">
      <w:pPr>
        <w:spacing w:before="240"/>
      </w:pPr>
      <w:r w:rsidRPr="00753FAB">
        <w:t xml:space="preserve">Framboð í millilandaflugi jókst um 19% á </w:t>
      </w:r>
      <w:r>
        <w:t xml:space="preserve">þriðja </w:t>
      </w:r>
      <w:r w:rsidRPr="00753FAB">
        <w:t xml:space="preserve">ársfjórðungi og farþegum fjölgaði á sama tíma um 18%. Farþegaaukning varð á öllum mörkuðum, en mest var hún á markaðinum yfir </w:t>
      </w:r>
      <w:proofErr w:type="spellStart"/>
      <w:r w:rsidRPr="00753FAB">
        <w:t>N-Atlantshafið</w:t>
      </w:r>
      <w:proofErr w:type="spellEnd"/>
      <w:r w:rsidRPr="00753FAB">
        <w:t xml:space="preserve"> þar sem hún nam 25%.</w:t>
      </w:r>
      <w:r>
        <w:t xml:space="preserve"> </w:t>
      </w:r>
      <w:r w:rsidRPr="00753FAB">
        <w:t xml:space="preserve">Farþegar á </w:t>
      </w:r>
      <w:proofErr w:type="spellStart"/>
      <w:r w:rsidRPr="00753FAB">
        <w:t>N-Atlantshafsmarkaðinum</w:t>
      </w:r>
      <w:proofErr w:type="spellEnd"/>
      <w:r w:rsidRPr="00753FAB">
        <w:t xml:space="preserve"> voru </w:t>
      </w:r>
      <w:r>
        <w:t xml:space="preserve">langflestir eða </w:t>
      </w:r>
      <w:r w:rsidRPr="00753FAB">
        <w:t>55,4% af heildarfarþegum á þriðja ársfjórðungi.</w:t>
      </w:r>
      <w:r>
        <w:t xml:space="preserve"> </w:t>
      </w:r>
      <w:r w:rsidRPr="00753FAB">
        <w:t xml:space="preserve">Sætanýting var 84,2% og jókst miðað við sama tímabil á síðasta ári um 0,7 prósentustig. </w:t>
      </w:r>
    </w:p>
    <w:p w:rsidR="004305BA" w:rsidRPr="003443E6" w:rsidRDefault="004305BA" w:rsidP="004305BA">
      <w:r w:rsidRPr="00753FAB">
        <w:t xml:space="preserve">Fjöldi farþega í innanlandsflugi og flugi til Grænlands var </w:t>
      </w:r>
      <w:r>
        <w:t>tæplega</w:t>
      </w:r>
      <w:r w:rsidRPr="00753FAB">
        <w:t xml:space="preserve"> 91 þúsund </w:t>
      </w:r>
      <w:r>
        <w:t>í fjórðungnum</w:t>
      </w:r>
      <w:r w:rsidRPr="00753FAB">
        <w:t>.</w:t>
      </w:r>
      <w:r>
        <w:t xml:space="preserve"> </w:t>
      </w:r>
      <w:r w:rsidRPr="00753FAB">
        <w:t xml:space="preserve">Framboð var óbreytt miðað við sama tímabil í fyrra. Sætanýting í fjórðungnum nam 73,6% og jókst um 0,6 prósentustig á milli ára. Seldum blokktímum í leiguflugi </w:t>
      </w:r>
      <w:r w:rsidR="00995AA7">
        <w:t>á þriðja ársfjórðungi</w:t>
      </w:r>
      <w:r w:rsidR="00894E53">
        <w:t xml:space="preserve"> </w:t>
      </w:r>
      <w:r w:rsidRPr="00753FAB">
        <w:t>fækkar á milli ára</w:t>
      </w:r>
      <w:r>
        <w:t xml:space="preserve"> um 28% og </w:t>
      </w:r>
      <w:r w:rsidR="00894E53">
        <w:t xml:space="preserve">nam </w:t>
      </w:r>
      <w:r>
        <w:t>flotanýting</w:t>
      </w:r>
      <w:r w:rsidRPr="00753FAB">
        <w:t xml:space="preserve"> í leiguflugsverkefnum 88%.</w:t>
      </w:r>
      <w:r>
        <w:t xml:space="preserve"> Lakari </w:t>
      </w:r>
      <w:r w:rsidRPr="00753FAB">
        <w:t>nýting</w:t>
      </w:r>
      <w:r>
        <w:t xml:space="preserve"> véla samanborið við síðasta ár skýrist af viðhaldsskoðunum</w:t>
      </w:r>
      <w:r w:rsidRPr="00753FAB">
        <w:t>. Flutt frakt í áætlunarflugi jókst frá fyrra ári um 2%. Fjöldi seldra gistinótta jókst um 5% á þriðja ársfjórðungi. Herbergjanýtingin nam 87,0% miðað við 84,3% á sama tímabili á síðasta ári.</w:t>
      </w:r>
    </w:p>
    <w:p w:rsidR="001F276B" w:rsidRDefault="001F276B">
      <w:pPr>
        <w:spacing w:after="200"/>
        <w:jc w:val="left"/>
        <w:rPr>
          <w:b/>
          <w:caps/>
        </w:rPr>
      </w:pPr>
      <w:r>
        <w:br w:type="page"/>
      </w:r>
    </w:p>
    <w:p w:rsidR="001B3726" w:rsidRPr="00B70D69" w:rsidRDefault="001B3726" w:rsidP="004F4138">
      <w:pPr>
        <w:pStyle w:val="NoSpacing"/>
      </w:pPr>
      <w:r w:rsidRPr="00B70D69">
        <w:lastRenderedPageBreak/>
        <w:t xml:space="preserve">REKSTUR </w:t>
      </w:r>
      <w:r w:rsidR="00694A06">
        <w:t>þriðja</w:t>
      </w:r>
      <w:r w:rsidRPr="00B70D69">
        <w:t xml:space="preserve"> ÁRSFJÓRÐUNGS</w:t>
      </w: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080"/>
        <w:gridCol w:w="1080"/>
        <w:gridCol w:w="1080"/>
        <w:gridCol w:w="1080"/>
      </w:tblGrid>
      <w:tr w:rsidR="00AD72C8" w:rsidRPr="00AD72C8" w:rsidTr="00AD72C8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Þúsundir USD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AD72C8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AD72C8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AD72C8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AD72C8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Breyting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% Breyting</w:t>
            </w:r>
          </w:p>
        </w:tc>
      </w:tr>
      <w:tr w:rsidR="00AD72C8" w:rsidRPr="00AD72C8" w:rsidTr="00AD72C8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EBITDAR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134.541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114.316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20.225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18%</w:t>
            </w:r>
          </w:p>
        </w:tc>
      </w:tr>
      <w:tr w:rsidR="00AD72C8" w:rsidRPr="00AD72C8" w:rsidTr="00AD72C8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EBITDA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123.883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102.243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21.640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21%</w:t>
            </w:r>
          </w:p>
        </w:tc>
      </w:tr>
      <w:tr w:rsidR="00AD72C8" w:rsidRPr="00AD72C8" w:rsidTr="00AD72C8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EBIT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102.515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82.170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20.345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25%</w:t>
            </w:r>
          </w:p>
        </w:tc>
      </w:tr>
      <w:tr w:rsidR="00AD72C8" w:rsidRPr="00AD72C8" w:rsidTr="00AD72C8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EBT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106.189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81.851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24.338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30%</w:t>
            </w:r>
          </w:p>
        </w:tc>
      </w:tr>
      <w:tr w:rsidR="00AD72C8" w:rsidRPr="00AD72C8" w:rsidTr="00AD72C8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Hagnaður</w:t>
            </w: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 tímabilsins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85.801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65.325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20.476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31%</w:t>
            </w:r>
          </w:p>
        </w:tc>
      </w:tr>
      <w:tr w:rsidR="00AD72C8" w:rsidRPr="00AD72C8" w:rsidTr="00AD72C8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EBITDAR 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32,1%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30,8%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1,4 </w:t>
            </w:r>
            <w:r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%-stig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</w:tr>
      <w:tr w:rsidR="00AD72C8" w:rsidRPr="00AD72C8" w:rsidTr="00AD72C8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EBITDA 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29,6%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27,5%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2,1 %-stig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D72C8" w:rsidRPr="00AD72C8" w:rsidRDefault="00AD72C8" w:rsidP="00AD72C8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AD72C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</w:tr>
    </w:tbl>
    <w:p w:rsidR="00FB253E" w:rsidRDefault="00AD72C8" w:rsidP="008C70A9">
      <w:pPr>
        <w:spacing w:before="240"/>
      </w:pPr>
      <w:r>
        <w:t>Hagnaður eftir skatta var 85</w:t>
      </w:r>
      <w:r w:rsidR="00FB253E" w:rsidRPr="00B70D69">
        <w:t>,</w:t>
      </w:r>
      <w:r>
        <w:t>8</w:t>
      </w:r>
      <w:r w:rsidR="00FB253E" w:rsidRPr="00B70D69">
        <w:t xml:space="preserve"> milljónir US</w:t>
      </w:r>
      <w:r>
        <w:t xml:space="preserve">D en var á sama tímabili </w:t>
      </w:r>
      <w:r w:rsidR="000F2718">
        <w:t>á síðasta ári</w:t>
      </w:r>
      <w:r>
        <w:t xml:space="preserve"> 65</w:t>
      </w:r>
      <w:r w:rsidR="00FB253E" w:rsidRPr="00B70D69">
        <w:t>,</w:t>
      </w:r>
      <w:r>
        <w:t>3</w:t>
      </w:r>
      <w:r w:rsidR="00FB253E" w:rsidRPr="00B70D69">
        <w:t xml:space="preserve"> milljónir USD. EBITDAR var </w:t>
      </w:r>
      <w:r>
        <w:t>134</w:t>
      </w:r>
      <w:r w:rsidR="00FB253E" w:rsidRPr="00B70D69">
        <w:t>,</w:t>
      </w:r>
      <w:r>
        <w:t>5</w:t>
      </w:r>
      <w:r w:rsidR="00FB253E" w:rsidRPr="00B70D69">
        <w:t xml:space="preserve"> milljónir USD samanborið við </w:t>
      </w:r>
      <w:r>
        <w:t>114,3</w:t>
      </w:r>
      <w:r w:rsidR="00FB253E" w:rsidRPr="00B70D69">
        <w:t xml:space="preserve"> milljónir USD á </w:t>
      </w:r>
      <w:r w:rsidR="00BB4134">
        <w:t xml:space="preserve">þriðja </w:t>
      </w:r>
      <w:r w:rsidR="00FB253E" w:rsidRPr="00B70D69">
        <w:t xml:space="preserve">ársfjórðungi 2013. </w:t>
      </w:r>
      <w:proofErr w:type="spellStart"/>
      <w:r w:rsidR="00FB253E" w:rsidRPr="00B70D69">
        <w:t>EBITDAR-hlutfall</w:t>
      </w:r>
      <w:proofErr w:type="spellEnd"/>
      <w:r w:rsidR="00FB253E" w:rsidRPr="00B70D69">
        <w:t xml:space="preserve"> </w:t>
      </w:r>
      <w:r w:rsidR="00BB4134">
        <w:t xml:space="preserve">jókst </w:t>
      </w:r>
      <w:r w:rsidR="00FB253E" w:rsidRPr="00B70D69">
        <w:t xml:space="preserve">um </w:t>
      </w:r>
      <w:r w:rsidR="00BB4134">
        <w:t>1</w:t>
      </w:r>
      <w:r w:rsidR="00FB253E" w:rsidRPr="00B70D69">
        <w:t>,</w:t>
      </w:r>
      <w:r w:rsidR="00BB4134">
        <w:t>4 prósentustig og nam 32</w:t>
      </w:r>
      <w:r w:rsidR="00FB253E" w:rsidRPr="00B70D69">
        <w:t>,</w:t>
      </w:r>
      <w:r w:rsidR="00BB4134">
        <w:t>1</w:t>
      </w:r>
      <w:r w:rsidR="00FB253E" w:rsidRPr="00B70D69">
        <w:t>%.</w:t>
      </w:r>
      <w:r w:rsidR="00FB253E">
        <w:t xml:space="preserve"> </w:t>
      </w:r>
    </w:p>
    <w:p w:rsidR="001B3726" w:rsidRDefault="00766713" w:rsidP="008C70A9">
      <w:pPr>
        <w:spacing w:before="240"/>
      </w:pPr>
      <w:r w:rsidRPr="006836AD">
        <w:t>EBITDA var jákvæð</w:t>
      </w:r>
      <w:r w:rsidR="001B3726" w:rsidRPr="006836AD">
        <w:t xml:space="preserve"> um </w:t>
      </w:r>
      <w:r w:rsidR="00BB4134" w:rsidRPr="006836AD">
        <w:t>123</w:t>
      </w:r>
      <w:r w:rsidRPr="006836AD">
        <w:t>,</w:t>
      </w:r>
      <w:r w:rsidR="00BB4134" w:rsidRPr="006836AD">
        <w:t>9</w:t>
      </w:r>
      <w:r w:rsidR="00102837" w:rsidRPr="006836AD">
        <w:t xml:space="preserve"> milljónir USD og </w:t>
      </w:r>
      <w:r w:rsidR="00035FC0">
        <w:t>hækkaði</w:t>
      </w:r>
      <w:r w:rsidR="00035FC0" w:rsidRPr="006836AD">
        <w:t xml:space="preserve"> </w:t>
      </w:r>
      <w:r w:rsidR="00102837" w:rsidRPr="006836AD">
        <w:t xml:space="preserve">um </w:t>
      </w:r>
      <w:r w:rsidR="00B70D69" w:rsidRPr="006836AD">
        <w:t>2</w:t>
      </w:r>
      <w:r w:rsidR="00BB4134" w:rsidRPr="006836AD">
        <w:t>1</w:t>
      </w:r>
      <w:r w:rsidR="00B70D69" w:rsidRPr="006836AD">
        <w:t>,</w:t>
      </w:r>
      <w:r w:rsidR="00BB4134" w:rsidRPr="006836AD">
        <w:t>6</w:t>
      </w:r>
      <w:r w:rsidR="001B3726" w:rsidRPr="006836AD">
        <w:t xml:space="preserve"> milljón</w:t>
      </w:r>
      <w:r w:rsidR="00B70D69" w:rsidRPr="006836AD">
        <w:t>ir</w:t>
      </w:r>
      <w:r w:rsidR="001B3726" w:rsidRPr="006836AD">
        <w:t xml:space="preserve"> USD milli ára. </w:t>
      </w:r>
      <w:proofErr w:type="spellStart"/>
      <w:r w:rsidR="001B3726" w:rsidRPr="006836AD">
        <w:t>EBITDA-hlutfall</w:t>
      </w:r>
      <w:proofErr w:type="spellEnd"/>
      <w:r w:rsidR="001B3726" w:rsidRPr="006836AD">
        <w:t xml:space="preserve"> var </w:t>
      </w:r>
      <w:r w:rsidR="00BB4134" w:rsidRPr="006836AD">
        <w:t>29</w:t>
      </w:r>
      <w:r w:rsidR="001B3726" w:rsidRPr="006836AD">
        <w:t>,</w:t>
      </w:r>
      <w:r w:rsidR="00BB4134" w:rsidRPr="006836AD">
        <w:t>6</w:t>
      </w:r>
      <w:r w:rsidR="001B3726" w:rsidRPr="006836AD">
        <w:t xml:space="preserve">% á </w:t>
      </w:r>
      <w:r w:rsidR="00BB4134" w:rsidRPr="006836AD">
        <w:t>þriðja</w:t>
      </w:r>
      <w:r w:rsidR="001B3726" w:rsidRPr="006836AD">
        <w:t xml:space="preserve"> ársfjórðungi en var </w:t>
      </w:r>
      <w:r w:rsidR="00BB4134" w:rsidRPr="006836AD">
        <w:t>27</w:t>
      </w:r>
      <w:r w:rsidR="001B3726" w:rsidRPr="006836AD">
        <w:t>,</w:t>
      </w:r>
      <w:r w:rsidR="00BB4134" w:rsidRPr="006836AD">
        <w:t>5</w:t>
      </w:r>
      <w:r w:rsidR="00B70D69" w:rsidRPr="006836AD">
        <w:t>% á sama tímabili 201</w:t>
      </w:r>
      <w:r w:rsidR="00BB4134" w:rsidRPr="006836AD">
        <w:t>3</w:t>
      </w:r>
      <w:r w:rsidR="001B3726" w:rsidRPr="006836AD">
        <w:t xml:space="preserve">. </w:t>
      </w:r>
      <w:r w:rsidR="00191C0A">
        <w:t>Kostnaður vegna viðhalds- og skilaskoðana</w:t>
      </w:r>
      <w:r w:rsidR="006836AD" w:rsidRPr="006836AD">
        <w:t xml:space="preserve"> á </w:t>
      </w:r>
      <w:proofErr w:type="spellStart"/>
      <w:r w:rsidR="006836AD" w:rsidRPr="006836AD">
        <w:t>fraktvélum</w:t>
      </w:r>
      <w:proofErr w:type="spellEnd"/>
      <w:r w:rsidR="006836AD" w:rsidRPr="006836AD">
        <w:t xml:space="preserve"> ásamt áhrifum</w:t>
      </w:r>
      <w:r w:rsidR="001B0742" w:rsidRPr="006836AD">
        <w:t xml:space="preserve"> </w:t>
      </w:r>
      <w:r w:rsidR="000F2718">
        <w:t xml:space="preserve">af </w:t>
      </w:r>
      <w:r w:rsidR="001B0742" w:rsidRPr="006836AD">
        <w:t xml:space="preserve">bakfærslu niðurfærslu krafna </w:t>
      </w:r>
      <w:r w:rsidR="006836AD" w:rsidRPr="006836AD">
        <w:t>höfðu</w:t>
      </w:r>
      <w:r w:rsidR="001B0742" w:rsidRPr="006836AD">
        <w:t xml:space="preserve"> nokkur áhrif á afkomu fjórðungsins.  Hér að neðan má sjá </w:t>
      </w:r>
      <w:proofErr w:type="spellStart"/>
      <w:r w:rsidR="001B0742" w:rsidRPr="006836AD">
        <w:t>EBITDA-brú</w:t>
      </w:r>
      <w:proofErr w:type="spellEnd"/>
      <w:r w:rsidR="001B0742" w:rsidRPr="006836AD">
        <w:t xml:space="preserve"> þar sem helstu frávik milli ára eru </w:t>
      </w:r>
      <w:proofErr w:type="spellStart"/>
      <w:r w:rsidR="001B0742" w:rsidRPr="006836AD">
        <w:t>s</w:t>
      </w:r>
      <w:r w:rsidR="001F276B">
        <w:t>kýrð</w:t>
      </w:r>
      <w:proofErr w:type="spellEnd"/>
      <w:r w:rsidR="001B0742" w:rsidRPr="006836AD">
        <w:t xml:space="preserve">. </w:t>
      </w:r>
      <w:r w:rsidR="006836AD">
        <w:t xml:space="preserve">  </w:t>
      </w:r>
    </w:p>
    <w:tbl>
      <w:tblPr>
        <w:tblW w:w="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960"/>
      </w:tblGrid>
      <w:tr w:rsidR="00300C0B" w:rsidRPr="00300C0B" w:rsidTr="00300C0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Þúsundir USD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</w:tr>
      <w:tr w:rsidR="00300C0B" w:rsidRPr="00300C0B" w:rsidTr="00300C0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EBITDA 3. ársfjórðungur 2013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102.243</w:t>
            </w:r>
          </w:p>
        </w:tc>
      </w:tr>
      <w:tr w:rsidR="00300C0B" w:rsidRPr="00300C0B" w:rsidTr="00300C0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Niðurfærsla krafna - breyting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2.903</w:t>
            </w:r>
          </w:p>
        </w:tc>
      </w:tr>
      <w:tr w:rsidR="00300C0B" w:rsidRPr="00300C0B" w:rsidTr="00300C0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Viðhalds</w:t>
            </w:r>
            <w:r w:rsidR="0048756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 og skila</w:t>
            </w: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kostnaður </w:t>
            </w:r>
            <w:proofErr w:type="spellStart"/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fraktvéla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-5.707</w:t>
            </w:r>
          </w:p>
        </w:tc>
      </w:tr>
      <w:tr w:rsidR="00300C0B" w:rsidRPr="00300C0B" w:rsidTr="00300C0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EBITDA breyting - Ferðatengd þjónusta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1.273</w:t>
            </w:r>
          </w:p>
        </w:tc>
      </w:tr>
      <w:tr w:rsidR="00300C0B" w:rsidRPr="00300C0B" w:rsidTr="00300C0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EBITDA breyting - Flugstarfsemi án Icelandair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4.487</w:t>
            </w:r>
          </w:p>
        </w:tc>
      </w:tr>
      <w:tr w:rsidR="00300C0B" w:rsidRPr="00300C0B" w:rsidTr="00300C0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EBITDA breyting - Icelandair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18.582</w:t>
            </w:r>
          </w:p>
        </w:tc>
      </w:tr>
      <w:tr w:rsidR="00300C0B" w:rsidRPr="00300C0B" w:rsidTr="00300C0B">
        <w:trPr>
          <w:trHeight w:val="25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Annað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102</w:t>
            </w:r>
          </w:p>
        </w:tc>
      </w:tr>
      <w:tr w:rsidR="00300C0B" w:rsidRPr="00300C0B" w:rsidTr="00300C0B">
        <w:trPr>
          <w:trHeight w:val="255"/>
        </w:trPr>
        <w:tc>
          <w:tcPr>
            <w:tcW w:w="34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EBITDA 3. ársfjórðungur 2014</w:t>
            </w:r>
          </w:p>
        </w:tc>
        <w:tc>
          <w:tcPr>
            <w:tcW w:w="9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123.883</w:t>
            </w:r>
          </w:p>
        </w:tc>
      </w:tr>
    </w:tbl>
    <w:p w:rsidR="001B3726" w:rsidRPr="00A04926" w:rsidRDefault="001B3726" w:rsidP="004F4138">
      <w:pPr>
        <w:pStyle w:val="NoSpacing"/>
      </w:pPr>
      <w:r w:rsidRPr="00A04926">
        <w:t>TEKJUR</w:t>
      </w:r>
    </w:p>
    <w:p w:rsidR="001B3726" w:rsidRPr="00A04926" w:rsidRDefault="001B3726" w:rsidP="001B0C29">
      <w:pPr>
        <w:pStyle w:val="Heading2"/>
      </w:pPr>
      <w:r w:rsidRPr="00A04926">
        <w:t>Heildartekjur</w:t>
      </w:r>
      <w:r w:rsidR="00BC55AD">
        <w:t xml:space="preserve"> voru 13</w:t>
      </w:r>
      <w:r w:rsidR="00BF08D3" w:rsidRPr="00A04926">
        <w:t xml:space="preserve">% hærri en á </w:t>
      </w:r>
      <w:r w:rsidR="00BC55AD">
        <w:t>þriðja á</w:t>
      </w:r>
      <w:r w:rsidR="00A44B83">
        <w:t>rsfjórðungi 2013</w:t>
      </w:r>
      <w:r w:rsidRPr="00A04926">
        <w:t>.</w:t>
      </w:r>
    </w:p>
    <w:p w:rsidR="001B3726" w:rsidRPr="00A04926" w:rsidRDefault="00BC55AD" w:rsidP="001B0C29">
      <w:pPr>
        <w:pStyle w:val="Heading2"/>
      </w:pPr>
      <w:r>
        <w:t>Farþegatekjur jukust um 22</w:t>
      </w:r>
      <w:r w:rsidR="001B3726" w:rsidRPr="00A04926">
        <w:t>% á milli ára.</w:t>
      </w:r>
    </w:p>
    <w:p w:rsidR="001B3726" w:rsidRPr="00A04926" w:rsidRDefault="00B70D69" w:rsidP="00670B19">
      <w:pPr>
        <w:pStyle w:val="Heading2"/>
        <w:spacing w:after="240"/>
        <w:ind w:left="357" w:hanging="357"/>
      </w:pPr>
      <w:r w:rsidRPr="00A04926">
        <w:t>Tek</w:t>
      </w:r>
      <w:r w:rsidR="00BC55AD">
        <w:t>jur af flugvélaleigu lækka um 41</w:t>
      </w:r>
      <w:r w:rsidRPr="00A04926">
        <w:t>% frá síðasta ári</w:t>
      </w:r>
      <w:r w:rsidR="001B3726" w:rsidRPr="00A04926">
        <w:t>.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080"/>
        <w:gridCol w:w="1080"/>
        <w:gridCol w:w="1080"/>
        <w:gridCol w:w="1080"/>
        <w:gridCol w:w="1080"/>
      </w:tblGrid>
      <w:tr w:rsidR="00300C0B" w:rsidRPr="00300C0B" w:rsidTr="00300C0B">
        <w:trPr>
          <w:trHeight w:val="450"/>
        </w:trPr>
        <w:tc>
          <w:tcPr>
            <w:tcW w:w="3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Þúsundir USD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Breyting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% Breyting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% af tekjum 2014</w:t>
            </w:r>
          </w:p>
        </w:tc>
      </w:tr>
      <w:tr w:rsidR="00300C0B" w:rsidRPr="00300C0B" w:rsidTr="00300C0B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Flutningatekjur: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320.775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264.430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56.345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77%</w:t>
            </w:r>
          </w:p>
        </w:tc>
      </w:tr>
      <w:tr w:rsidR="00300C0B" w:rsidRPr="00300C0B" w:rsidTr="00300C0B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 xml:space="preserve">  Farþegaflug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>309.758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>254.085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>55.673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>74%</w:t>
            </w:r>
          </w:p>
        </w:tc>
      </w:tr>
      <w:tr w:rsidR="00300C0B" w:rsidRPr="00300C0B" w:rsidTr="00300C0B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 xml:space="preserve">  Vöru- og póstflutningar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>11.017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>10.345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>672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>6%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4"/>
                <w:szCs w:val="14"/>
                <w:lang w:eastAsia="is-IS"/>
              </w:rPr>
              <w:t>3%</w:t>
            </w:r>
          </w:p>
        </w:tc>
      </w:tr>
      <w:tr w:rsidR="00300C0B" w:rsidRPr="00300C0B" w:rsidTr="00300C0B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A538DA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Flugvélaleiga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17.060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28.829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-11.769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-41%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4%</w:t>
            </w:r>
          </w:p>
        </w:tc>
      </w:tr>
      <w:tr w:rsidR="00300C0B" w:rsidRPr="00300C0B" w:rsidTr="00300C0B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Aðrar rekstrartekjur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80.911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78.403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2.508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19%</w:t>
            </w:r>
          </w:p>
        </w:tc>
      </w:tr>
      <w:tr w:rsidR="00300C0B" w:rsidRPr="00300C0B" w:rsidTr="00300C0B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Samtals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418.746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371.662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47.084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100%</w:t>
            </w:r>
          </w:p>
        </w:tc>
      </w:tr>
    </w:tbl>
    <w:p w:rsidR="001B3726" w:rsidRDefault="007C79DE" w:rsidP="00670B19">
      <w:pPr>
        <w:spacing w:before="240"/>
      </w:pPr>
      <w:r w:rsidRPr="00B70D69">
        <w:t>Flutn</w:t>
      </w:r>
      <w:r w:rsidR="00BB4134">
        <w:t>ingatekjur jukust um 56</w:t>
      </w:r>
      <w:r w:rsidR="001B3726" w:rsidRPr="00B70D69">
        <w:t>,</w:t>
      </w:r>
      <w:r w:rsidR="00BB4134">
        <w:t>3</w:t>
      </w:r>
      <w:r w:rsidR="001B3726" w:rsidRPr="00B70D69">
        <w:t xml:space="preserve"> mil</w:t>
      </w:r>
      <w:r w:rsidR="00991011" w:rsidRPr="00B70D69">
        <w:t>ljónir USD</w:t>
      </w:r>
      <w:r w:rsidR="001B3726" w:rsidRPr="00B70D69">
        <w:t>, þar af hækkuðu farþegatek</w:t>
      </w:r>
      <w:r w:rsidRPr="00B70D69">
        <w:t xml:space="preserve">jur um </w:t>
      </w:r>
      <w:r w:rsidR="00BB4134">
        <w:t>55</w:t>
      </w:r>
      <w:r w:rsidRPr="00B70D69">
        <w:t>,</w:t>
      </w:r>
      <w:r w:rsidR="00BB4134">
        <w:t>7</w:t>
      </w:r>
      <w:r w:rsidRPr="00B70D69">
        <w:t xml:space="preserve"> milljónir USD</w:t>
      </w:r>
      <w:r w:rsidR="00BA731D" w:rsidRPr="00B70D69">
        <w:t>.</w:t>
      </w:r>
      <w:r w:rsidR="001B3726" w:rsidRPr="00B70D69">
        <w:t xml:space="preserve"> </w:t>
      </w:r>
      <w:r w:rsidR="001B3726" w:rsidRPr="00BB4134">
        <w:t xml:space="preserve">Tekjur af </w:t>
      </w:r>
      <w:r w:rsidR="00EF31D6" w:rsidRPr="00BB4134">
        <w:t>flugvélaleigu</w:t>
      </w:r>
      <w:r w:rsidR="001B3726" w:rsidRPr="00BB4134">
        <w:t xml:space="preserve"> </w:t>
      </w:r>
      <w:r w:rsidR="00B70D69" w:rsidRPr="00BB4134">
        <w:t>drógust saman</w:t>
      </w:r>
      <w:r w:rsidRPr="00BB4134">
        <w:t xml:space="preserve"> um</w:t>
      </w:r>
      <w:r w:rsidR="001B3726" w:rsidRPr="00BB4134">
        <w:t xml:space="preserve"> </w:t>
      </w:r>
      <w:r w:rsidR="00BB4134" w:rsidRPr="00BB4134">
        <w:t>11</w:t>
      </w:r>
      <w:r w:rsidR="001B3726" w:rsidRPr="00BB4134">
        <w:t>,</w:t>
      </w:r>
      <w:r w:rsidR="00BB4134" w:rsidRPr="00BB4134">
        <w:t>8</w:t>
      </w:r>
      <w:r w:rsidR="001B3726" w:rsidRPr="00BB4134">
        <w:t xml:space="preserve"> milljón</w:t>
      </w:r>
      <w:r w:rsidRPr="00BB4134">
        <w:t>ir</w:t>
      </w:r>
      <w:r w:rsidR="001B3726" w:rsidRPr="00BB4134">
        <w:t xml:space="preserve"> USD</w:t>
      </w:r>
      <w:r w:rsidR="00B70D69" w:rsidRPr="00BB4134">
        <w:t xml:space="preserve"> </w:t>
      </w:r>
      <w:r w:rsidRPr="00BB4134">
        <w:t xml:space="preserve">og námu </w:t>
      </w:r>
      <w:r w:rsidR="00B70D69" w:rsidRPr="00BB4134">
        <w:t>1</w:t>
      </w:r>
      <w:r w:rsidR="00BB4134" w:rsidRPr="00BB4134">
        <w:t>7</w:t>
      </w:r>
      <w:r w:rsidRPr="00BB4134">
        <w:t>,</w:t>
      </w:r>
      <w:r w:rsidR="00BB4134" w:rsidRPr="00BB4134">
        <w:t xml:space="preserve">1 </w:t>
      </w:r>
      <w:r w:rsidRPr="00BB4134">
        <w:t>milljón USD.</w:t>
      </w:r>
      <w:r w:rsidR="001B3726" w:rsidRPr="00BB4134">
        <w:t xml:space="preserve"> Aðrar rekstrartekjur</w:t>
      </w:r>
      <w:r w:rsidR="002E196D" w:rsidRPr="00BB4134">
        <w:t xml:space="preserve"> námu </w:t>
      </w:r>
      <w:r w:rsidR="00BB4134" w:rsidRPr="00BB4134">
        <w:t>80</w:t>
      </w:r>
      <w:r w:rsidR="002E196D" w:rsidRPr="00BB4134">
        <w:t>,</w:t>
      </w:r>
      <w:r w:rsidR="00BB4134" w:rsidRPr="00BB4134">
        <w:t>9</w:t>
      </w:r>
      <w:r w:rsidR="002E196D" w:rsidRPr="00BB4134">
        <w:t xml:space="preserve"> milljónum USD og</w:t>
      </w:r>
      <w:r w:rsidR="001B3726" w:rsidRPr="00BB4134">
        <w:t xml:space="preserve"> </w:t>
      </w:r>
      <w:r w:rsidRPr="00BB4134">
        <w:t>jukust um</w:t>
      </w:r>
      <w:r w:rsidR="001B3726" w:rsidRPr="00BB4134">
        <w:t xml:space="preserve"> </w:t>
      </w:r>
      <w:r w:rsidR="00BB4134" w:rsidRPr="00BB4134">
        <w:t>2</w:t>
      </w:r>
      <w:r w:rsidR="001B3726" w:rsidRPr="00BB4134">
        <w:t>,</w:t>
      </w:r>
      <w:r w:rsidR="00B70D69" w:rsidRPr="00BB4134">
        <w:t>5</w:t>
      </w:r>
      <w:r w:rsidR="001B3726" w:rsidRPr="00BB4134">
        <w:t xml:space="preserve"> milljónir USD eða um </w:t>
      </w:r>
      <w:r w:rsidR="00BB4134" w:rsidRPr="00BB4134">
        <w:t>3</w:t>
      </w:r>
      <w:r w:rsidR="001B3726" w:rsidRPr="00BB4134">
        <w:t xml:space="preserve">% miðað við </w:t>
      </w:r>
      <w:r w:rsidR="00BB4134" w:rsidRPr="00BB4134">
        <w:t>þriðja</w:t>
      </w:r>
      <w:r w:rsidR="00B70D69" w:rsidRPr="00BB4134">
        <w:t xml:space="preserve"> ársfjórðung 2013</w:t>
      </w:r>
      <w:r w:rsidR="001B3726" w:rsidRPr="00BB4134">
        <w:t xml:space="preserve">. </w:t>
      </w:r>
      <w:r w:rsidR="00BB4134" w:rsidRPr="00BB4134">
        <w:t>T</w:t>
      </w:r>
      <w:r w:rsidR="00A825DD" w:rsidRPr="00BB4134">
        <w:t xml:space="preserve">ekjur af </w:t>
      </w:r>
      <w:r w:rsidR="002629E0">
        <w:t>vöru</w:t>
      </w:r>
      <w:r w:rsidRPr="00BB4134">
        <w:t>sölu á hó</w:t>
      </w:r>
      <w:r w:rsidR="002602C5" w:rsidRPr="00BB4134">
        <w:t>telum, flugvöllum og flugvélum hækkuðu</w:t>
      </w:r>
      <w:r w:rsidRPr="00BB4134">
        <w:t xml:space="preserve"> um </w:t>
      </w:r>
      <w:r w:rsidR="00BB4134" w:rsidRPr="00BB4134">
        <w:t>3</w:t>
      </w:r>
      <w:r w:rsidRPr="00BB4134">
        <w:t>,</w:t>
      </w:r>
      <w:r w:rsidR="00BB4134" w:rsidRPr="00BB4134">
        <w:t>0</w:t>
      </w:r>
      <w:r w:rsidR="00A04926" w:rsidRPr="00BB4134">
        <w:t xml:space="preserve"> milljón</w:t>
      </w:r>
      <w:r w:rsidR="00BB4134" w:rsidRPr="00BB4134">
        <w:t>ir</w:t>
      </w:r>
      <w:r w:rsidRPr="00BB4134">
        <w:t xml:space="preserve"> USD miðað við sama tíma á síðasta ári og tekjur</w:t>
      </w:r>
      <w:r w:rsidR="00A04926" w:rsidRPr="00BB4134">
        <w:t xml:space="preserve"> af ferðaþjónustu um 6</w:t>
      </w:r>
      <w:r w:rsidRPr="00BB4134">
        <w:t>,</w:t>
      </w:r>
      <w:r w:rsidR="00BB4134" w:rsidRPr="00BB4134">
        <w:t>8</w:t>
      </w:r>
      <w:r w:rsidRPr="00BB4134">
        <w:t xml:space="preserve"> milljónir USD. </w:t>
      </w:r>
      <w:r w:rsidR="00BB4134" w:rsidRPr="00BB4134">
        <w:t>Tekjur af seldri viðhaldsþjón</w:t>
      </w:r>
      <w:r w:rsidR="00BC55AD">
        <w:t>u</w:t>
      </w:r>
      <w:r w:rsidR="00BB4134" w:rsidRPr="00BB4134">
        <w:t>stu lækkuðu um 7,8 milljónir USD</w:t>
      </w:r>
      <w:r w:rsidR="00704D5E">
        <w:t>. S</w:t>
      </w:r>
      <w:r w:rsidR="00487568">
        <w:t xml:space="preserve">kýrist </w:t>
      </w:r>
      <w:r w:rsidR="00704D5E">
        <w:t xml:space="preserve">það </w:t>
      </w:r>
      <w:r w:rsidR="00487568">
        <w:t xml:space="preserve">af því að á </w:t>
      </w:r>
      <w:r w:rsidR="004F6210">
        <w:t xml:space="preserve">þriðja ársfjórðungi síðasta árs voru </w:t>
      </w:r>
      <w:r w:rsidR="00487568">
        <w:t>umtalsverðar</w:t>
      </w:r>
      <w:r w:rsidR="004F6210">
        <w:t xml:space="preserve"> tekjur af seldri ráðgjöf og innleiðingu á nýju afþreyingarkerfi og sætum í </w:t>
      </w:r>
      <w:r w:rsidR="004F6210">
        <w:lastRenderedPageBreak/>
        <w:t>vélar fyrir viðskiptavini</w:t>
      </w:r>
      <w:r w:rsidR="001F276B">
        <w:t>, sem ekki var um að ræða nú</w:t>
      </w:r>
      <w:r w:rsidR="004F6210">
        <w:t xml:space="preserve">. </w:t>
      </w:r>
      <w:r w:rsidRPr="00BB4134">
        <w:t>Í töflunni hér að neðan má sjá niðurbrot á öðrum tekjum.</w:t>
      </w: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080"/>
        <w:gridCol w:w="1080"/>
        <w:gridCol w:w="1080"/>
        <w:gridCol w:w="1080"/>
      </w:tblGrid>
      <w:tr w:rsidR="00E15E4A" w:rsidRPr="00E15E4A" w:rsidTr="00E15E4A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Þúsundir USD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Breyting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% Breyting</w:t>
            </w:r>
          </w:p>
        </w:tc>
      </w:tr>
      <w:tr w:rsidR="00E15E4A" w:rsidRPr="00E15E4A" w:rsidTr="00E15E4A">
        <w:trPr>
          <w:trHeight w:val="227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Vörusala á hótelum, flugvöllum og flugvélum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26.899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23.893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3.006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13%</w:t>
            </w:r>
          </w:p>
        </w:tc>
      </w:tr>
      <w:tr w:rsidR="00E15E4A" w:rsidRPr="00E15E4A" w:rsidTr="00E15E4A">
        <w:trPr>
          <w:trHeight w:val="227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Tekjur af ferðaþjónustu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39.326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32.559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6.767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21%</w:t>
            </w:r>
          </w:p>
        </w:tc>
      </w:tr>
      <w:tr w:rsidR="00E15E4A" w:rsidRPr="00E15E4A" w:rsidTr="00E15E4A">
        <w:trPr>
          <w:trHeight w:val="227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Afgreiðslu</w:t>
            </w:r>
            <w:r w:rsidR="002629E0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 og þjónustutekjur af flugfrakt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8.757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8.246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511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6%</w:t>
            </w:r>
          </w:p>
        </w:tc>
      </w:tr>
      <w:tr w:rsidR="00E15E4A" w:rsidRPr="00E15E4A" w:rsidTr="00E15E4A">
        <w:trPr>
          <w:trHeight w:val="227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Seld viðhaldsþjónusta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1.892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9.729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-7.837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-81%</w:t>
            </w:r>
          </w:p>
        </w:tc>
      </w:tr>
      <w:tr w:rsidR="00E15E4A" w:rsidRPr="00E15E4A" w:rsidTr="00E15E4A">
        <w:trPr>
          <w:trHeight w:val="227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Söluhagnaður fastafjármuna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307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-232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-76%</w:t>
            </w:r>
          </w:p>
        </w:tc>
      </w:tr>
      <w:tr w:rsidR="00E15E4A" w:rsidRPr="00E15E4A" w:rsidTr="00E15E4A">
        <w:trPr>
          <w:trHeight w:val="227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Aðrar rekst</w:t>
            </w:r>
            <w:r w:rsidR="002629E0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r</w:t>
            </w: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artekjur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3.962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3.669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8%</w:t>
            </w:r>
          </w:p>
        </w:tc>
      </w:tr>
      <w:tr w:rsidR="00E15E4A" w:rsidRPr="00E15E4A" w:rsidTr="00E15E4A">
        <w:trPr>
          <w:trHeight w:val="227"/>
        </w:trPr>
        <w:tc>
          <w:tcPr>
            <w:tcW w:w="34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Samtals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EBECEC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80.911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78.403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2.508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3%</w:t>
            </w:r>
          </w:p>
        </w:tc>
      </w:tr>
    </w:tbl>
    <w:p w:rsidR="001B3726" w:rsidRPr="00D74FC8" w:rsidRDefault="001B3726" w:rsidP="001823F4">
      <w:pPr>
        <w:pStyle w:val="NoSpacing"/>
        <w:rPr>
          <w:highlight w:val="yellow"/>
        </w:rPr>
      </w:pPr>
      <w:r w:rsidRPr="00D9118A">
        <w:t>KOSTNAÐUR</w:t>
      </w:r>
    </w:p>
    <w:p w:rsidR="001B3726" w:rsidRPr="00A04926" w:rsidRDefault="0067551A" w:rsidP="001B0C29">
      <w:pPr>
        <w:pStyle w:val="Heading2"/>
      </w:pPr>
      <w:r w:rsidRPr="00A04926">
        <w:t xml:space="preserve">Heildarkostnaður </w:t>
      </w:r>
      <w:r w:rsidR="00A04926" w:rsidRPr="00A04926">
        <w:t>nam 2</w:t>
      </w:r>
      <w:r w:rsidR="00BC55AD">
        <w:t>94</w:t>
      </w:r>
      <w:r w:rsidR="00A04926" w:rsidRPr="00A04926">
        <w:t>,</w:t>
      </w:r>
      <w:r w:rsidR="00BC55AD">
        <w:t>9</w:t>
      </w:r>
      <w:r w:rsidR="001B3726" w:rsidRPr="00A04926">
        <w:t xml:space="preserve"> milljón</w:t>
      </w:r>
      <w:r w:rsidR="00A04926" w:rsidRPr="00A04926">
        <w:t>um</w:t>
      </w:r>
      <w:r w:rsidR="001B3726" w:rsidRPr="00A04926">
        <w:t xml:space="preserve"> USD.</w:t>
      </w:r>
    </w:p>
    <w:p w:rsidR="001B3726" w:rsidRPr="00A04926" w:rsidRDefault="001B3726" w:rsidP="001B0C29">
      <w:pPr>
        <w:pStyle w:val="Heading2"/>
      </w:pPr>
      <w:r w:rsidRPr="00A04926">
        <w:t xml:space="preserve">Kostnaðarhækkanir eru að mestu tilkomnar vegna </w:t>
      </w:r>
      <w:r w:rsidR="002629E0">
        <w:t>aukins</w:t>
      </w:r>
      <w:r w:rsidR="002629E0" w:rsidRPr="00A04926">
        <w:t xml:space="preserve"> </w:t>
      </w:r>
      <w:r w:rsidRPr="00A04926">
        <w:t>framboðs í millilandaflugi</w:t>
      </w:r>
      <w:r w:rsidR="00A04926">
        <w:t xml:space="preserve"> og aukningu í ferðatengdri þjónustu á Íslandi</w:t>
      </w:r>
      <w:r w:rsidRPr="00A04926">
        <w:t>.</w:t>
      </w:r>
    </w:p>
    <w:p w:rsidR="001B3726" w:rsidRDefault="001B3726" w:rsidP="00670B19">
      <w:pPr>
        <w:pStyle w:val="Heading2"/>
        <w:spacing w:after="240"/>
        <w:ind w:left="357" w:hanging="357"/>
      </w:pPr>
      <w:r w:rsidRPr="00A04926">
        <w:t>Flugvéla</w:t>
      </w:r>
      <w:r w:rsidR="00A04926">
        <w:t xml:space="preserve">leiga lækkar vegna </w:t>
      </w:r>
      <w:proofErr w:type="spellStart"/>
      <w:r w:rsidR="00A04926">
        <w:t>færri</w:t>
      </w:r>
      <w:proofErr w:type="spellEnd"/>
      <w:r w:rsidRPr="00A04926">
        <w:t xml:space="preserve"> </w:t>
      </w:r>
      <w:r w:rsidR="00752EA4" w:rsidRPr="00A04926">
        <w:t>véla á rekst</w:t>
      </w:r>
      <w:r w:rsidR="003C4F2D" w:rsidRPr="00A04926">
        <w:t>r</w:t>
      </w:r>
      <w:r w:rsidR="00752EA4" w:rsidRPr="00A04926">
        <w:t>arleigu auk lækkunar leigu</w:t>
      </w:r>
      <w:r w:rsidR="00A04926">
        <w:t>verðs</w:t>
      </w:r>
      <w:r w:rsidRPr="00A04926">
        <w:t>.</w:t>
      </w: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080"/>
        <w:gridCol w:w="1080"/>
        <w:gridCol w:w="1080"/>
        <w:gridCol w:w="1080"/>
        <w:gridCol w:w="1080"/>
      </w:tblGrid>
      <w:tr w:rsidR="00300C0B" w:rsidRPr="00300C0B" w:rsidTr="00300C0B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Þúsundir USD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Breyting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% Breyting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% af kostnaði 2014</w:t>
            </w:r>
          </w:p>
        </w:tc>
      </w:tr>
      <w:tr w:rsidR="00300C0B" w:rsidRPr="00300C0B" w:rsidTr="00300C0B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Laun og annar starfsmannakostnaður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69.753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61.519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8.234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13%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24%</w:t>
            </w:r>
          </w:p>
        </w:tc>
      </w:tr>
      <w:tr w:rsidR="00300C0B" w:rsidRPr="00300C0B" w:rsidTr="00300C0B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Eldsneytiskostnaður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95.783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80.605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15.178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19%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32%</w:t>
            </w:r>
          </w:p>
        </w:tc>
      </w:tr>
      <w:tr w:rsidR="00300C0B" w:rsidRPr="00300C0B" w:rsidTr="00300C0B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Flugvélaleiga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5.732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8.927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-3.195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-36%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2%</w:t>
            </w:r>
          </w:p>
        </w:tc>
      </w:tr>
      <w:tr w:rsidR="00300C0B" w:rsidRPr="00300C0B" w:rsidTr="00300C0B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Afgreiðslu-, lendingar</w:t>
            </w:r>
            <w:r w:rsidR="002629E0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 og yfirflugsgjöld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29.357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25.532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3.825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15%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10%</w:t>
            </w:r>
          </w:p>
        </w:tc>
      </w:tr>
      <w:tr w:rsidR="00300C0B" w:rsidRPr="00300C0B" w:rsidTr="00300C0B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Viðhaldskostnaður flugvéla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21.647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26.744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-5.097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-19%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7%</w:t>
            </w:r>
          </w:p>
        </w:tc>
      </w:tr>
      <w:tr w:rsidR="00300C0B" w:rsidRPr="00300C0B" w:rsidTr="00300C0B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Annar rekstrarkostnaður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72.591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66.092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6.499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25%</w:t>
            </w:r>
          </w:p>
        </w:tc>
      </w:tr>
      <w:tr w:rsidR="00300C0B" w:rsidRPr="00300C0B" w:rsidTr="00300C0B">
        <w:trPr>
          <w:trHeight w:val="225"/>
        </w:trPr>
        <w:tc>
          <w:tcPr>
            <w:tcW w:w="346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Samtals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294.863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269.419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25.444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9%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100%</w:t>
            </w:r>
          </w:p>
        </w:tc>
      </w:tr>
    </w:tbl>
    <w:p w:rsidR="001B3726" w:rsidRPr="0067551A" w:rsidRDefault="001B3726" w:rsidP="00670B19">
      <w:pPr>
        <w:spacing w:before="240"/>
      </w:pPr>
      <w:r w:rsidRPr="00A04926">
        <w:t xml:space="preserve">Laun, launatengd </w:t>
      </w:r>
      <w:r w:rsidRPr="00DE08C8">
        <w:t xml:space="preserve">gjöld og starfsmannakostnaður hækkuðu um </w:t>
      </w:r>
      <w:r w:rsidR="00BC55AD">
        <w:t>8</w:t>
      </w:r>
      <w:r w:rsidRPr="00DE08C8">
        <w:t>,</w:t>
      </w:r>
      <w:r w:rsidR="00BC55AD">
        <w:t>2</w:t>
      </w:r>
      <w:r w:rsidRPr="00DE08C8">
        <w:t xml:space="preserve"> milljónir USD eða </w:t>
      </w:r>
      <w:r w:rsidR="003C4F2D" w:rsidRPr="00DE08C8">
        <w:t xml:space="preserve">um </w:t>
      </w:r>
      <w:r w:rsidR="00BC55AD">
        <w:t>1</w:t>
      </w:r>
      <w:r w:rsidR="006718E8">
        <w:t>3</w:t>
      </w:r>
      <w:r w:rsidRPr="00DE08C8">
        <w:t>% samanb</w:t>
      </w:r>
      <w:r w:rsidR="003C4F2D" w:rsidRPr="00DE08C8">
        <w:t>orið</w:t>
      </w:r>
      <w:r w:rsidRPr="00DE08C8">
        <w:t xml:space="preserve"> við </w:t>
      </w:r>
      <w:r w:rsidR="00BC55AD">
        <w:t>þriðja</w:t>
      </w:r>
      <w:r w:rsidRPr="00DE08C8">
        <w:t xml:space="preserve"> ársfjórðung 201</w:t>
      </w:r>
      <w:r w:rsidR="00A04926" w:rsidRPr="00DE08C8">
        <w:t>3</w:t>
      </w:r>
      <w:r w:rsidRPr="00DE08C8">
        <w:t>. Skýrist það af auknu umfangi rekstrar</w:t>
      </w:r>
      <w:r w:rsidR="00264526">
        <w:t xml:space="preserve"> auk</w:t>
      </w:r>
      <w:r w:rsidRPr="00DE08C8">
        <w:t xml:space="preserve"> áhrifa samningsbundinna </w:t>
      </w:r>
      <w:r w:rsidRPr="000D14CD">
        <w:t xml:space="preserve">launahækkana. </w:t>
      </w:r>
    </w:p>
    <w:p w:rsidR="006156D8" w:rsidRDefault="001B3726" w:rsidP="001B3726">
      <w:r w:rsidRPr="00A04926">
        <w:t xml:space="preserve">Eldsneytiskostnaður </w:t>
      </w:r>
      <w:r w:rsidR="006718E8">
        <w:t xml:space="preserve">nam </w:t>
      </w:r>
      <w:r w:rsidR="00BC55AD">
        <w:t>95</w:t>
      </w:r>
      <w:r w:rsidR="00A04926" w:rsidRPr="00A04926">
        <w:t>,</w:t>
      </w:r>
      <w:r w:rsidR="00BC55AD">
        <w:t>8</w:t>
      </w:r>
      <w:r w:rsidR="00A04926" w:rsidRPr="00A04926">
        <w:t xml:space="preserve"> milljón</w:t>
      </w:r>
      <w:r w:rsidR="006718E8">
        <w:t>um USD og jókst um 1</w:t>
      </w:r>
      <w:r w:rsidR="00BC55AD">
        <w:t>5</w:t>
      </w:r>
      <w:r w:rsidRPr="00A04926">
        <w:t>,</w:t>
      </w:r>
      <w:r w:rsidR="00BC55AD">
        <w:t>2</w:t>
      </w:r>
      <w:r w:rsidRPr="00A04926">
        <w:t xml:space="preserve"> milljónir USD sem er 1</w:t>
      </w:r>
      <w:r w:rsidR="00BC55AD">
        <w:t>9</w:t>
      </w:r>
      <w:r w:rsidR="000E7E4A" w:rsidRPr="00A04926">
        <w:t xml:space="preserve">% hækkun frá sama tíma </w:t>
      </w:r>
      <w:r w:rsidR="000E7E4A" w:rsidRPr="001F276B">
        <w:t>í fyrra</w:t>
      </w:r>
      <w:r w:rsidR="006156D8">
        <w:t xml:space="preserve"> og skýrist af auknu umfangi í millilandaflugi</w:t>
      </w:r>
      <w:r w:rsidR="002D62B4" w:rsidRPr="001F276B">
        <w:t>.</w:t>
      </w:r>
      <w:r w:rsidR="000E7E4A" w:rsidRPr="001F276B">
        <w:t xml:space="preserve"> </w:t>
      </w:r>
      <w:r w:rsidRPr="001F276B">
        <w:t>Heimsmarkað</w:t>
      </w:r>
      <w:r w:rsidR="003E535F" w:rsidRPr="001F276B">
        <w:t>sverð</w:t>
      </w:r>
      <w:r w:rsidR="003E535F" w:rsidRPr="003B6767">
        <w:t xml:space="preserve"> á olíu </w:t>
      </w:r>
      <w:r w:rsidR="008C4A9A" w:rsidRPr="003B6767">
        <w:t xml:space="preserve">hefur farið lækkandi á árinu 2014. Á þriðja ársfjórðungi </w:t>
      </w:r>
      <w:r w:rsidR="003E535F" w:rsidRPr="003B6767">
        <w:t xml:space="preserve">var </w:t>
      </w:r>
      <w:r w:rsidR="008C4A9A" w:rsidRPr="003B6767">
        <w:t xml:space="preserve">það </w:t>
      </w:r>
      <w:r w:rsidR="003E535F" w:rsidRPr="003B6767">
        <w:t xml:space="preserve">að meðaltali </w:t>
      </w:r>
      <w:r w:rsidR="0067551A" w:rsidRPr="003B6767">
        <w:t>9</w:t>
      </w:r>
      <w:r w:rsidR="008C4A9A" w:rsidRPr="003B6767">
        <w:t>38</w:t>
      </w:r>
      <w:r w:rsidRPr="003B6767">
        <w:t xml:space="preserve"> USD/tonn </w:t>
      </w:r>
      <w:r w:rsidR="003E535F" w:rsidRPr="003B6767">
        <w:t xml:space="preserve">samanborið við </w:t>
      </w:r>
      <w:r w:rsidR="00A04926" w:rsidRPr="003B6767">
        <w:t>9</w:t>
      </w:r>
      <w:r w:rsidR="008C4A9A" w:rsidRPr="003B6767">
        <w:t>95</w:t>
      </w:r>
      <w:r w:rsidR="00A04926" w:rsidRPr="003B6767">
        <w:t xml:space="preserve"> USD/tonn á sama tímabili 2013</w:t>
      </w:r>
      <w:r w:rsidRPr="003B6767">
        <w:t>.</w:t>
      </w:r>
      <w:r w:rsidR="00BC55AD">
        <w:t xml:space="preserve"> </w:t>
      </w:r>
    </w:p>
    <w:p w:rsidR="001B3726" w:rsidRPr="00A04926" w:rsidRDefault="001B3726" w:rsidP="001B3726">
      <w:r w:rsidRPr="00A04926">
        <w:t xml:space="preserve">Flugvélaleiga lækkaði í samanburði </w:t>
      </w:r>
      <w:r w:rsidR="007D6BD9" w:rsidRPr="00A04926">
        <w:t xml:space="preserve">við </w:t>
      </w:r>
      <w:r w:rsidR="00BC55AD">
        <w:t>þriðja</w:t>
      </w:r>
      <w:r w:rsidR="007D6BD9" w:rsidRPr="00A04926">
        <w:t xml:space="preserve"> ársfjórðung 201</w:t>
      </w:r>
      <w:r w:rsidR="00D23D53">
        <w:t xml:space="preserve">3 um </w:t>
      </w:r>
      <w:r w:rsidR="00BC55AD">
        <w:t>3</w:t>
      </w:r>
      <w:r w:rsidRPr="00A04926">
        <w:t>,</w:t>
      </w:r>
      <w:r w:rsidR="00BC55AD">
        <w:t>2</w:t>
      </w:r>
      <w:r w:rsidRPr="00A04926">
        <w:t xml:space="preserve"> milljón</w:t>
      </w:r>
      <w:r w:rsidR="00BC55AD">
        <w:t>ir</w:t>
      </w:r>
      <w:r w:rsidR="00A04926" w:rsidRPr="00A04926">
        <w:t xml:space="preserve"> USD eða </w:t>
      </w:r>
      <w:r w:rsidR="00BC55AD">
        <w:t>36</w:t>
      </w:r>
      <w:r w:rsidRPr="00A04926">
        <w:t>%. Skýrist það</w:t>
      </w:r>
      <w:r w:rsidR="00EF31D6" w:rsidRPr="00A04926">
        <w:t xml:space="preserve"> af </w:t>
      </w:r>
      <w:proofErr w:type="spellStart"/>
      <w:r w:rsidR="00EF31D6" w:rsidRPr="00A04926">
        <w:t>f</w:t>
      </w:r>
      <w:r w:rsidR="00A04926" w:rsidRPr="00A04926">
        <w:t>ærri</w:t>
      </w:r>
      <w:proofErr w:type="spellEnd"/>
      <w:r w:rsidR="00A04926" w:rsidRPr="00A04926">
        <w:t xml:space="preserve"> vélum</w:t>
      </w:r>
      <w:r w:rsidR="00A01AB1" w:rsidRPr="00A04926">
        <w:t xml:space="preserve"> á rekst</w:t>
      </w:r>
      <w:r w:rsidR="003C4F2D" w:rsidRPr="00A04926">
        <w:t>r</w:t>
      </w:r>
      <w:r w:rsidR="00A01AB1" w:rsidRPr="00A04926">
        <w:t>arleigu</w:t>
      </w:r>
      <w:r w:rsidR="00EF31D6" w:rsidRPr="00A04926">
        <w:t xml:space="preserve"> auk lækkunar á leigu</w:t>
      </w:r>
      <w:r w:rsidR="00A04926" w:rsidRPr="00A04926">
        <w:t>verðum</w:t>
      </w:r>
      <w:r w:rsidRPr="00A04926">
        <w:t xml:space="preserve">. </w:t>
      </w:r>
    </w:p>
    <w:p w:rsidR="001F276B" w:rsidRDefault="001B3726" w:rsidP="007D7980">
      <w:r w:rsidRPr="003B6D4C">
        <w:t>Afgreiðslu-, lendingar</w:t>
      </w:r>
      <w:r w:rsidR="00D23D53">
        <w:t xml:space="preserve">- og yfirflugsgjöld hækkuðu um </w:t>
      </w:r>
      <w:r w:rsidR="00BC55AD">
        <w:t>3</w:t>
      </w:r>
      <w:r w:rsidRPr="003B6D4C">
        <w:t>,</w:t>
      </w:r>
      <w:r w:rsidR="00BC55AD">
        <w:t>8</w:t>
      </w:r>
      <w:r w:rsidRPr="003B6D4C">
        <w:t xml:space="preserve"> mil</w:t>
      </w:r>
      <w:r w:rsidR="007D6BD9" w:rsidRPr="003B6D4C">
        <w:t>ljónir USD á milli ára</w:t>
      </w:r>
      <w:r w:rsidR="002629E0">
        <w:t>,</w:t>
      </w:r>
      <w:r w:rsidR="007D6BD9" w:rsidRPr="003B6D4C">
        <w:t xml:space="preserve"> eða um 1</w:t>
      </w:r>
      <w:r w:rsidR="00BC55AD">
        <w:t>5</w:t>
      </w:r>
      <w:r w:rsidRPr="003B6D4C">
        <w:t>%</w:t>
      </w:r>
      <w:r w:rsidR="002629E0">
        <w:t>,</w:t>
      </w:r>
      <w:r w:rsidRPr="003B6D4C">
        <w:t xml:space="preserve"> sem skýrist af auknu framboði ásamt almennum verðhækkunum. </w:t>
      </w:r>
      <w:r w:rsidR="00BC55AD">
        <w:t>Viðhaldskostnaður nam 21</w:t>
      </w:r>
      <w:r w:rsidRPr="003B6D4C">
        <w:t>,</w:t>
      </w:r>
      <w:r w:rsidR="00BC55AD">
        <w:t>6</w:t>
      </w:r>
      <w:r w:rsidRPr="003B6D4C">
        <w:t xml:space="preserve"> milljónum USD og </w:t>
      </w:r>
      <w:r w:rsidR="00A04926" w:rsidRPr="003B6D4C">
        <w:t xml:space="preserve">var </w:t>
      </w:r>
      <w:r w:rsidR="00BC55AD">
        <w:t>5</w:t>
      </w:r>
      <w:r w:rsidR="00B56A3E">
        <w:t>,</w:t>
      </w:r>
      <w:r w:rsidR="00BC55AD">
        <w:t>1</w:t>
      </w:r>
      <w:r w:rsidR="00B56A3E">
        <w:t xml:space="preserve"> milljón USD lægri</w:t>
      </w:r>
      <w:r w:rsidR="00A04926" w:rsidRPr="003B6D4C">
        <w:t xml:space="preserve"> en á síðasta ári</w:t>
      </w:r>
      <w:r w:rsidR="004F6210" w:rsidRPr="004F6210">
        <w:t xml:space="preserve"> </w:t>
      </w:r>
      <w:r w:rsidR="00487568">
        <w:t>þ</w:t>
      </w:r>
      <w:r w:rsidR="00C14EBA">
        <w:t xml:space="preserve">rátt fyrir háan viðhaldskostnað af </w:t>
      </w:r>
      <w:proofErr w:type="spellStart"/>
      <w:r w:rsidR="00C14EBA">
        <w:t>fraktvélum</w:t>
      </w:r>
      <w:proofErr w:type="spellEnd"/>
      <w:r w:rsidR="00C14EBA">
        <w:t xml:space="preserve"> í ár</w:t>
      </w:r>
      <w:r w:rsidR="00487568">
        <w:t>.</w:t>
      </w:r>
      <w:r w:rsidR="00C14EBA">
        <w:t xml:space="preserve">  Skýrist það að stærstu leyti</w:t>
      </w:r>
      <w:r w:rsidR="001F276B">
        <w:t xml:space="preserve"> a</w:t>
      </w:r>
      <w:r w:rsidR="004F6210">
        <w:t xml:space="preserve">f </w:t>
      </w:r>
      <w:r w:rsidR="00487568">
        <w:t xml:space="preserve">minni umsvifum í </w:t>
      </w:r>
      <w:proofErr w:type="spellStart"/>
      <w:r w:rsidR="00487568">
        <w:t>útseldri</w:t>
      </w:r>
      <w:proofErr w:type="spellEnd"/>
      <w:r w:rsidR="00487568">
        <w:t xml:space="preserve"> viðhaldsþjónustu</w:t>
      </w:r>
      <w:r w:rsidR="004F6210">
        <w:t>, sbr. skýringu  hér að ofan.</w:t>
      </w:r>
      <w:r w:rsidR="00BC55AD">
        <w:t xml:space="preserve"> </w:t>
      </w:r>
      <w:r w:rsidR="00753FAB">
        <w:t>Annar rekstrarkostnaður nam 72</w:t>
      </w:r>
      <w:r w:rsidRPr="003B6D4C">
        <w:t>,</w:t>
      </w:r>
      <w:r w:rsidR="00753FAB">
        <w:t>6</w:t>
      </w:r>
      <w:r w:rsidRPr="003B6D4C">
        <w:t xml:space="preserve"> milljón</w:t>
      </w:r>
      <w:r w:rsidR="003C4F2D" w:rsidRPr="003B6D4C">
        <w:t>um</w:t>
      </w:r>
      <w:r w:rsidRPr="003B6D4C">
        <w:t xml:space="preserve"> USD og hækkaði um </w:t>
      </w:r>
      <w:r w:rsidR="00C27FDB">
        <w:t>6</w:t>
      </w:r>
      <w:r w:rsidRPr="003B6D4C">
        <w:t>,</w:t>
      </w:r>
      <w:r w:rsidR="00C27FDB">
        <w:t>5</w:t>
      </w:r>
      <w:r w:rsidRPr="003B6D4C">
        <w:t xml:space="preserve"> milljón</w:t>
      </w:r>
      <w:r w:rsidR="00F9041A" w:rsidRPr="003B6D4C">
        <w:t>ir</w:t>
      </w:r>
      <w:r w:rsidRPr="003B6D4C">
        <w:t xml:space="preserve"> USD á milli ára.</w:t>
      </w:r>
      <w:r w:rsidR="003B6D4C" w:rsidRPr="003B6D4C">
        <w:t xml:space="preserve"> Breytingar á töpuðum kröfum komu til lækkunar kostnaðar </w:t>
      </w:r>
      <w:r w:rsidR="00D6616E">
        <w:t>að fjárhæð</w:t>
      </w:r>
      <w:r w:rsidR="00753FAB">
        <w:t xml:space="preserve"> 3,4</w:t>
      </w:r>
      <w:r w:rsidR="003B6D4C" w:rsidRPr="003B6D4C">
        <w:t xml:space="preserve"> milljón USD á fjórðungnum.</w:t>
      </w:r>
      <w:r w:rsidRPr="003B6D4C">
        <w:t xml:space="preserve"> </w:t>
      </w:r>
      <w:r w:rsidR="007D7980" w:rsidRPr="003B6D4C">
        <w:t xml:space="preserve">Í töflunni hér </w:t>
      </w:r>
      <w:r w:rsidR="00A60FA6" w:rsidRPr="003B6D4C">
        <w:t>á eftir</w:t>
      </w:r>
      <w:r w:rsidR="007D7980" w:rsidRPr="003B6D4C">
        <w:t xml:space="preserve"> má sjá niðurbrot á helstu liðum</w:t>
      </w:r>
      <w:r w:rsidR="00A60FA6" w:rsidRPr="003B6D4C">
        <w:t xml:space="preserve"> og þróun milli ára</w:t>
      </w:r>
      <w:r w:rsidR="007D7980" w:rsidRPr="003B6D4C">
        <w:t>.</w:t>
      </w:r>
    </w:p>
    <w:p w:rsidR="007D7980" w:rsidRDefault="001B3726" w:rsidP="007D7980">
      <w:r w:rsidRPr="003B6D4C">
        <w:t xml:space="preserve"> </w:t>
      </w:r>
    </w:p>
    <w:p w:rsidR="00487568" w:rsidRDefault="00487568" w:rsidP="007D7980"/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839"/>
        <w:gridCol w:w="1080"/>
        <w:gridCol w:w="1080"/>
        <w:gridCol w:w="1080"/>
      </w:tblGrid>
      <w:tr w:rsidR="00300C0B" w:rsidRPr="00300C0B" w:rsidTr="00487568">
        <w:trPr>
          <w:trHeight w:val="225"/>
        </w:trPr>
        <w:tc>
          <w:tcPr>
            <w:tcW w:w="37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lastRenderedPageBreak/>
              <w:t>Þúsundir USD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Breyting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% Breyting</w:t>
            </w:r>
          </w:p>
        </w:tc>
      </w:tr>
      <w:tr w:rsidR="00300C0B" w:rsidRPr="00300C0B" w:rsidTr="00704D5E">
        <w:trPr>
          <w:trHeight w:val="22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704D5E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Rekstrarkostn</w:t>
            </w:r>
            <w:r w:rsidR="0048756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aður</w:t>
            </w: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 fasteigna og innréttinga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6.212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6.098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2%</w:t>
            </w:r>
          </w:p>
        </w:tc>
      </w:tr>
      <w:tr w:rsidR="00300C0B" w:rsidRPr="00300C0B" w:rsidTr="00487568">
        <w:trPr>
          <w:trHeight w:val="225"/>
        </w:trPr>
        <w:tc>
          <w:tcPr>
            <w:tcW w:w="3701" w:type="dxa"/>
            <w:tcBorders>
              <w:top w:val="dotted" w:sz="4" w:space="0" w:color="808080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Samskiptakostnaður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4.166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909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28%</w:t>
            </w:r>
          </w:p>
        </w:tc>
      </w:tr>
      <w:tr w:rsidR="00300C0B" w:rsidRPr="00300C0B" w:rsidTr="00487568">
        <w:trPr>
          <w:trHeight w:val="225"/>
        </w:trPr>
        <w:tc>
          <w:tcPr>
            <w:tcW w:w="3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Auglýsingakostnaður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5.991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5.291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700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13%</w:t>
            </w:r>
          </w:p>
        </w:tc>
      </w:tr>
      <w:tr w:rsidR="00300C0B" w:rsidRPr="00300C0B" w:rsidTr="00487568">
        <w:trPr>
          <w:trHeight w:val="225"/>
        </w:trPr>
        <w:tc>
          <w:tcPr>
            <w:tcW w:w="3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487568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Bókunargj</w:t>
            </w:r>
            <w:r w:rsidR="0048756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öld</w:t>
            </w: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, </w:t>
            </w:r>
            <w:proofErr w:type="spellStart"/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kreditkortaþókn</w:t>
            </w:r>
            <w:proofErr w:type="spellEnd"/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. og umboðslaun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12.485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11.210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1.275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11%</w:t>
            </w:r>
          </w:p>
        </w:tc>
      </w:tr>
      <w:tr w:rsidR="00300C0B" w:rsidRPr="00300C0B" w:rsidTr="00487568">
        <w:trPr>
          <w:trHeight w:val="225"/>
        </w:trPr>
        <w:tc>
          <w:tcPr>
            <w:tcW w:w="3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Kostnaðarverð seldra vara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7.560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6.290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1.270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20%</w:t>
            </w:r>
          </w:p>
        </w:tc>
      </w:tr>
      <w:tr w:rsidR="00300C0B" w:rsidRPr="00300C0B" w:rsidTr="00487568">
        <w:trPr>
          <w:trHeight w:val="225"/>
        </w:trPr>
        <w:tc>
          <w:tcPr>
            <w:tcW w:w="3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Þjónusta við farþega og </w:t>
            </w:r>
            <w:proofErr w:type="spellStart"/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hótelgesti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7.270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5.790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1.480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26%</w:t>
            </w:r>
          </w:p>
        </w:tc>
      </w:tr>
      <w:tr w:rsidR="00300C0B" w:rsidRPr="00300C0B" w:rsidTr="00487568">
        <w:trPr>
          <w:trHeight w:val="225"/>
        </w:trPr>
        <w:tc>
          <w:tcPr>
            <w:tcW w:w="3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Aðkeypt þjónusta í ferðaþjónustu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25.492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21.415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4.077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19%</w:t>
            </w:r>
          </w:p>
        </w:tc>
      </w:tr>
      <w:tr w:rsidR="00300C0B" w:rsidRPr="00300C0B" w:rsidTr="00487568">
        <w:trPr>
          <w:trHeight w:val="225"/>
        </w:trPr>
        <w:tc>
          <w:tcPr>
            <w:tcW w:w="3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Breyting á niðurfærslu krafna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-3.367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-464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-2.903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A5359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</w:tr>
      <w:tr w:rsidR="00300C0B" w:rsidRPr="00300C0B" w:rsidTr="00487568">
        <w:trPr>
          <w:trHeight w:val="225"/>
        </w:trPr>
        <w:tc>
          <w:tcPr>
            <w:tcW w:w="3701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Annar rekst</w:t>
            </w:r>
            <w:r w:rsidR="002629E0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r</w:t>
            </w: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arkostnaður</w:t>
            </w:r>
          </w:p>
        </w:tc>
        <w:tc>
          <w:tcPr>
            <w:tcW w:w="83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6.782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7.205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-423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-6%</w:t>
            </w:r>
          </w:p>
        </w:tc>
      </w:tr>
      <w:tr w:rsidR="00300C0B" w:rsidRPr="00300C0B" w:rsidTr="00487568">
        <w:trPr>
          <w:trHeight w:val="225"/>
        </w:trPr>
        <w:tc>
          <w:tcPr>
            <w:tcW w:w="3701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Samtals</w:t>
            </w:r>
          </w:p>
        </w:tc>
        <w:tc>
          <w:tcPr>
            <w:tcW w:w="83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72.591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66.092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6.499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10%</w:t>
            </w:r>
          </w:p>
        </w:tc>
      </w:tr>
    </w:tbl>
    <w:p w:rsidR="001B3726" w:rsidRPr="003B6D4C" w:rsidRDefault="001B3726" w:rsidP="00F97530">
      <w:pPr>
        <w:pStyle w:val="NoSpacing"/>
      </w:pPr>
      <w:r w:rsidRPr="003B6D4C">
        <w:t>FJÁRMAGNSLIÐIR</w:t>
      </w:r>
    </w:p>
    <w:p w:rsidR="00256679" w:rsidRPr="003B6D4C" w:rsidRDefault="001B3726" w:rsidP="00977CEF">
      <w:pPr>
        <w:pStyle w:val="Heading2"/>
        <w:spacing w:after="240"/>
        <w:ind w:left="357" w:hanging="357"/>
      </w:pPr>
      <w:r w:rsidRPr="003B6D4C">
        <w:t xml:space="preserve">Fjármagnsliðir voru </w:t>
      </w:r>
      <w:r w:rsidR="00753FAB">
        <w:t>jákvæðir</w:t>
      </w:r>
      <w:r w:rsidRPr="003B6D4C">
        <w:t xml:space="preserve"> </w:t>
      </w:r>
      <w:r w:rsidR="00A06BA0" w:rsidRPr="003B6D4C">
        <w:t>á fjórðungnum</w:t>
      </w:r>
    </w:p>
    <w:tbl>
      <w:tblPr>
        <w:tblW w:w="7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080"/>
        <w:gridCol w:w="1080"/>
        <w:gridCol w:w="1080"/>
        <w:gridCol w:w="1080"/>
      </w:tblGrid>
      <w:tr w:rsidR="00E15E4A" w:rsidRPr="00E15E4A" w:rsidTr="00E15E4A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Þúsundir USD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Breyting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% Breyting</w:t>
            </w:r>
          </w:p>
        </w:tc>
      </w:tr>
      <w:tr w:rsidR="00E15E4A" w:rsidRPr="00E15E4A" w:rsidTr="00E15E4A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Fjármagnstekjur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313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-18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-6%</w:t>
            </w:r>
          </w:p>
        </w:tc>
      </w:tr>
      <w:tr w:rsidR="00E15E4A" w:rsidRPr="00E15E4A" w:rsidTr="00E15E4A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Fjármagnsgjöld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-1.109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-2.038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929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-46%</w:t>
            </w:r>
          </w:p>
        </w:tc>
      </w:tr>
      <w:tr w:rsidR="00E15E4A" w:rsidRPr="00E15E4A" w:rsidTr="00E15E4A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Gengisáhrif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4.460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3.041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</w:t>
            </w:r>
          </w:p>
        </w:tc>
      </w:tr>
      <w:tr w:rsidR="00E15E4A" w:rsidRPr="00E15E4A" w:rsidTr="00E15E4A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Samtals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EBECEC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3.646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-306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3.952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E15E4A" w:rsidRPr="00E15E4A" w:rsidRDefault="00E15E4A" w:rsidP="00E15E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E15E4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-</w:t>
            </w:r>
          </w:p>
        </w:tc>
      </w:tr>
    </w:tbl>
    <w:p w:rsidR="00F57843" w:rsidRDefault="001B3726" w:rsidP="00F57843">
      <w:pPr>
        <w:spacing w:before="240"/>
      </w:pPr>
      <w:r w:rsidRPr="003B6D4C">
        <w:t>Fjármagns</w:t>
      </w:r>
      <w:r w:rsidR="003B6D4C" w:rsidRPr="003B6D4C">
        <w:t>tekjur námu 0,</w:t>
      </w:r>
      <w:r w:rsidR="00753FAB">
        <w:t>3</w:t>
      </w:r>
      <w:r w:rsidR="003B6D4C" w:rsidRPr="003B6D4C">
        <w:t xml:space="preserve"> milljónum USD á </w:t>
      </w:r>
      <w:r w:rsidR="00753FAB">
        <w:t>þriðja</w:t>
      </w:r>
      <w:r w:rsidR="003B6D4C" w:rsidRPr="003B6D4C">
        <w:t xml:space="preserve"> ársfjórðungi. Fjármagns</w:t>
      </w:r>
      <w:r w:rsidRPr="003B6D4C">
        <w:t xml:space="preserve">gjöld námu </w:t>
      </w:r>
      <w:r w:rsidR="00753FAB">
        <w:t>1</w:t>
      </w:r>
      <w:r w:rsidRPr="003B6D4C">
        <w:t>,</w:t>
      </w:r>
      <w:r w:rsidR="00753FAB">
        <w:t>1</w:t>
      </w:r>
      <w:r w:rsidRPr="003B6D4C">
        <w:t xml:space="preserve"> milljón USD </w:t>
      </w:r>
      <w:r w:rsidR="00704D5E">
        <w:t>í</w:t>
      </w:r>
      <w:r w:rsidR="003B6D4C" w:rsidRPr="003B6D4C">
        <w:t xml:space="preserve"> fjórðungnum og </w:t>
      </w:r>
      <w:r w:rsidR="00753FAB">
        <w:t>lækkuðu</w:t>
      </w:r>
      <w:r w:rsidR="003B6D4C" w:rsidRPr="003B6D4C">
        <w:t xml:space="preserve"> um </w:t>
      </w:r>
      <w:r w:rsidR="00753FAB">
        <w:t>46</w:t>
      </w:r>
      <w:r w:rsidR="003B6D4C" w:rsidRPr="003B6D4C">
        <w:t xml:space="preserve">% á milli ára. </w:t>
      </w:r>
      <w:r w:rsidR="00753FAB">
        <w:t>G</w:t>
      </w:r>
      <w:r w:rsidR="003B6D4C" w:rsidRPr="003B6D4C">
        <w:t>engis</w:t>
      </w:r>
      <w:r w:rsidR="00753FAB">
        <w:t>áhrif voru jákvæð um 4,5 milljónir USD</w:t>
      </w:r>
      <w:r w:rsidR="003B6D4C" w:rsidRPr="003B6D4C">
        <w:t xml:space="preserve"> </w:t>
      </w:r>
      <w:r w:rsidR="00704D5E">
        <w:t>í</w:t>
      </w:r>
      <w:r w:rsidR="003B6D4C" w:rsidRPr="003B6D4C">
        <w:t xml:space="preserve"> fjórðungnum.</w:t>
      </w:r>
      <w:r w:rsidR="00F57843">
        <w:t xml:space="preserve"> Skýrist það að stóru leyti af styrkingu USD á móti ISK</w:t>
      </w:r>
      <w:r w:rsidR="001E53B0">
        <w:t>.</w:t>
      </w:r>
    </w:p>
    <w:p w:rsidR="001B3726" w:rsidRPr="00256679" w:rsidRDefault="001B3726" w:rsidP="00F57843">
      <w:pPr>
        <w:pStyle w:val="NoSpacing"/>
      </w:pPr>
      <w:r w:rsidRPr="003B6D4C">
        <w:t>EFNAHAGUR OG FJÁRHAGSLEG STAÐA</w:t>
      </w:r>
    </w:p>
    <w:p w:rsidR="001B3726" w:rsidRPr="00D74FC8" w:rsidRDefault="00256679" w:rsidP="001B0C29">
      <w:pPr>
        <w:pStyle w:val="Heading2"/>
      </w:pPr>
      <w:r w:rsidRPr="00D74FC8">
        <w:t xml:space="preserve">Heildareignir námu </w:t>
      </w:r>
      <w:r w:rsidR="00753FAB">
        <w:t>877</w:t>
      </w:r>
      <w:r w:rsidR="001B3726" w:rsidRPr="00D74FC8">
        <w:t>,</w:t>
      </w:r>
      <w:r w:rsidR="00753FAB">
        <w:t>2</w:t>
      </w:r>
      <w:r w:rsidR="001B3726" w:rsidRPr="00D74FC8">
        <w:t xml:space="preserve"> milljónum USD í lok </w:t>
      </w:r>
      <w:r w:rsidR="00753FAB">
        <w:t>þriðja</w:t>
      </w:r>
      <w:r w:rsidR="001B3726" w:rsidRPr="00D74FC8">
        <w:t xml:space="preserve"> ársfjórðungs.</w:t>
      </w:r>
    </w:p>
    <w:p w:rsidR="001B3726" w:rsidRPr="00D74FC8" w:rsidRDefault="00753FAB" w:rsidP="001B0C29">
      <w:pPr>
        <w:pStyle w:val="Heading2"/>
      </w:pPr>
      <w:r>
        <w:t>Eiginfjárhlutfall var 46</w:t>
      </w:r>
      <w:r w:rsidR="001B3726" w:rsidRPr="00D74FC8">
        <w:t>%.</w:t>
      </w:r>
    </w:p>
    <w:p w:rsidR="001B3726" w:rsidRPr="00D74FC8" w:rsidRDefault="001B3726" w:rsidP="00670B19">
      <w:pPr>
        <w:pStyle w:val="Heading2"/>
        <w:spacing w:after="240"/>
        <w:ind w:left="357" w:hanging="357"/>
      </w:pPr>
      <w:r w:rsidRPr="00D74FC8">
        <w:t xml:space="preserve">Vaxtaberandi skuldir námu </w:t>
      </w:r>
      <w:r w:rsidR="00753FAB">
        <w:t>55</w:t>
      </w:r>
      <w:r w:rsidRPr="00D74FC8">
        <w:t>,</w:t>
      </w:r>
      <w:r w:rsidR="00753FAB">
        <w:t>5</w:t>
      </w:r>
      <w:r w:rsidRPr="00D74FC8">
        <w:t xml:space="preserve"> milljón</w:t>
      </w:r>
      <w:r w:rsidR="007B3B05" w:rsidRPr="00D74FC8">
        <w:t>um</w:t>
      </w:r>
      <w:r w:rsidRPr="00D74FC8">
        <w:t xml:space="preserve"> USD og lækka frá byrjun árs.</w:t>
      </w: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080"/>
        <w:gridCol w:w="1180"/>
        <w:gridCol w:w="1080"/>
        <w:gridCol w:w="1080"/>
      </w:tblGrid>
      <w:tr w:rsidR="00300C0B" w:rsidRPr="00300C0B" w:rsidTr="00300C0B">
        <w:trPr>
          <w:trHeight w:val="225"/>
        </w:trPr>
        <w:tc>
          <w:tcPr>
            <w:tcW w:w="3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Þúsundir USD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30.09.2014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31.12.2013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Breyting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30.09.2013</w:t>
            </w:r>
          </w:p>
        </w:tc>
      </w:tr>
      <w:tr w:rsidR="00300C0B" w:rsidRPr="00300C0B" w:rsidTr="00300C0B">
        <w:trPr>
          <w:trHeight w:val="225"/>
        </w:trPr>
        <w:tc>
          <w:tcPr>
            <w:tcW w:w="35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Heildareignir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877.233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832.875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44.358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877.490</w:t>
            </w:r>
          </w:p>
        </w:tc>
      </w:tr>
      <w:tr w:rsidR="00300C0B" w:rsidRPr="00300C0B" w:rsidTr="00300C0B">
        <w:trPr>
          <w:trHeight w:val="225"/>
        </w:trPr>
        <w:tc>
          <w:tcPr>
            <w:tcW w:w="35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Eigið fé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403.607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346.082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57.525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352.226</w:t>
            </w:r>
          </w:p>
        </w:tc>
      </w:tr>
      <w:tr w:rsidR="00300C0B" w:rsidRPr="00300C0B" w:rsidTr="00300C0B">
        <w:trPr>
          <w:trHeight w:val="225"/>
        </w:trPr>
        <w:tc>
          <w:tcPr>
            <w:tcW w:w="35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Vaxtaberandi skuldir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55.469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122.017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-66.548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128.462</w:t>
            </w:r>
          </w:p>
        </w:tc>
      </w:tr>
      <w:tr w:rsidR="00300C0B" w:rsidRPr="00300C0B" w:rsidTr="00300C0B">
        <w:trPr>
          <w:trHeight w:val="225"/>
        </w:trPr>
        <w:tc>
          <w:tcPr>
            <w:tcW w:w="35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Nettó vaxtaberandi skuldir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-199.226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-77.476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-121.750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-89.874</w:t>
            </w:r>
          </w:p>
        </w:tc>
      </w:tr>
      <w:tr w:rsidR="00300C0B" w:rsidRPr="00300C0B" w:rsidTr="00300C0B">
        <w:trPr>
          <w:trHeight w:val="225"/>
        </w:trPr>
        <w:tc>
          <w:tcPr>
            <w:tcW w:w="35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Handbært fé og markaðsverðbréf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254.695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199.493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55.202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218.336</w:t>
            </w:r>
          </w:p>
        </w:tc>
      </w:tr>
      <w:tr w:rsidR="00300C0B" w:rsidRPr="00300C0B" w:rsidTr="00A030FB">
        <w:trPr>
          <w:trHeight w:val="225"/>
        </w:trPr>
        <w:tc>
          <w:tcPr>
            <w:tcW w:w="35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Eiginfjárhlutfall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46%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42%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A030F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4 </w:t>
            </w:r>
            <w:r w:rsidR="00A030F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%-stig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A030F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40%</w:t>
            </w:r>
          </w:p>
        </w:tc>
      </w:tr>
      <w:tr w:rsidR="00300C0B" w:rsidRPr="00300C0B" w:rsidTr="00300C0B">
        <w:trPr>
          <w:trHeight w:val="225"/>
        </w:trPr>
        <w:tc>
          <w:tcPr>
            <w:tcW w:w="35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Veltufjárhlutfall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1,03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0,94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10%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0,98</w:t>
            </w:r>
          </w:p>
        </w:tc>
      </w:tr>
    </w:tbl>
    <w:p w:rsidR="001B3726" w:rsidRDefault="001B3726" w:rsidP="00670B19">
      <w:pPr>
        <w:spacing w:before="240"/>
      </w:pPr>
      <w:r w:rsidRPr="00D74FC8">
        <w:t>Varanlegir rekst</w:t>
      </w:r>
      <w:r w:rsidR="000030AB" w:rsidRPr="00D74FC8">
        <w:t>r</w:t>
      </w:r>
      <w:r w:rsidRPr="00D74FC8">
        <w:t xml:space="preserve">arfjármunir námu </w:t>
      </w:r>
      <w:r w:rsidR="00753FAB">
        <w:t>297,6</w:t>
      </w:r>
      <w:r w:rsidR="00D74FC8" w:rsidRPr="00D74FC8">
        <w:t xml:space="preserve"> milljónum USD og </w:t>
      </w:r>
      <w:r w:rsidR="00753FAB">
        <w:t>lækkuðu</w:t>
      </w:r>
      <w:r w:rsidR="00374724">
        <w:t xml:space="preserve"> um 1</w:t>
      </w:r>
      <w:r w:rsidRPr="00D74FC8">
        <w:t>,</w:t>
      </w:r>
      <w:r w:rsidR="00374724">
        <w:t>6</w:t>
      </w:r>
      <w:r w:rsidRPr="00D74FC8">
        <w:t xml:space="preserve"> milljónir USD frá  ársbyrjun</w:t>
      </w:r>
      <w:r w:rsidRPr="00374724">
        <w:t xml:space="preserve">. Sjá nánari umfjöllun um fjárfestingar í varanlegum rekstrarfjármunum undir kaflanum um sjóðstreymi og fjárfestingar. Stærsta eign félagsins er flugvélafloti þess. </w:t>
      </w:r>
      <w:r w:rsidR="00693474" w:rsidRPr="00374724">
        <w:t>Í töflunni hér á eftir er yfir</w:t>
      </w:r>
      <w:r w:rsidR="00694A06" w:rsidRPr="00374724">
        <w:t>lit yfir flota félagsins í lok september</w:t>
      </w:r>
      <w:r w:rsidR="00693474" w:rsidRPr="00374724">
        <w:t>. Alls voru</w:t>
      </w:r>
      <w:r w:rsidRPr="00374724">
        <w:t xml:space="preserve"> </w:t>
      </w:r>
      <w:r w:rsidR="00693474" w:rsidRPr="00374724">
        <w:t>3</w:t>
      </w:r>
      <w:r w:rsidR="00694A06" w:rsidRPr="00374724">
        <w:t>6</w:t>
      </w:r>
      <w:r w:rsidRPr="00374724">
        <w:t xml:space="preserve"> flugvélar í flugflotanum, þar af voru 2</w:t>
      </w:r>
      <w:r w:rsidR="00206326" w:rsidRPr="00374724">
        <w:t>7</w:t>
      </w:r>
      <w:r w:rsidRPr="00374724">
        <w:t xml:space="preserve"> í eigu félagsins.</w:t>
      </w:r>
      <w:r w:rsidRPr="00D74FC8">
        <w:t xml:space="preserve">  </w:t>
      </w:r>
    </w:p>
    <w:p w:rsidR="00D17759" w:rsidRDefault="00D17759" w:rsidP="00670B19">
      <w:pPr>
        <w:spacing w:before="240"/>
      </w:pPr>
    </w:p>
    <w:p w:rsidR="00D17759" w:rsidRDefault="00D17759" w:rsidP="00670B19">
      <w:pPr>
        <w:spacing w:before="240"/>
      </w:pP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878"/>
        <w:gridCol w:w="878"/>
        <w:gridCol w:w="878"/>
        <w:gridCol w:w="878"/>
        <w:gridCol w:w="879"/>
        <w:gridCol w:w="878"/>
        <w:gridCol w:w="878"/>
        <w:gridCol w:w="878"/>
        <w:gridCol w:w="879"/>
      </w:tblGrid>
      <w:tr w:rsidR="003E64BC" w:rsidRPr="00374724" w:rsidTr="003E64BC">
        <w:trPr>
          <w:trHeight w:val="690"/>
        </w:trPr>
        <w:tc>
          <w:tcPr>
            <w:tcW w:w="125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E64BC" w:rsidRPr="00C44378" w:rsidRDefault="00441F76" w:rsidP="003E64BC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</w:pPr>
            <w:r w:rsidRPr="00C44378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lastRenderedPageBreak/>
              <w:t>F</w:t>
            </w:r>
            <w:r w:rsidR="003E64BC" w:rsidRPr="00C44378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t>lugvélagerð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E64BC" w:rsidRPr="00C44378" w:rsidRDefault="003E64BC" w:rsidP="00C4437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</w:pPr>
            <w:r w:rsidRPr="00C44378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t>Icelandair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E64BC" w:rsidRPr="00C44378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</w:pPr>
            <w:proofErr w:type="spellStart"/>
            <w:r w:rsidRPr="00C44378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t>Cargo</w:t>
            </w:r>
            <w:proofErr w:type="spell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E64BC" w:rsidRPr="00C44378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</w:pPr>
            <w:r w:rsidRPr="00C44378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t>Loftleiðir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E64BC" w:rsidRPr="00C44378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</w:pPr>
            <w:r w:rsidRPr="00C44378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t>Flugfélag Íslands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E64BC" w:rsidRPr="00C44378" w:rsidRDefault="003E64BC" w:rsidP="00694A0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</w:pPr>
            <w:r w:rsidRPr="00C44378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t>Flugfloti 30.0</w:t>
            </w:r>
            <w:r w:rsidR="00694A06" w:rsidRPr="00C44378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t>9</w:t>
            </w:r>
            <w:r w:rsidRPr="00C44378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t>.14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E64BC" w:rsidRPr="00C44378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</w:pPr>
            <w:r w:rsidRPr="00C44378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t>Flugfloti 31.12.13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E64BC" w:rsidRPr="00C44378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</w:pPr>
            <w:r w:rsidRPr="00C44378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t>Eigin              vélar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E64BC" w:rsidRPr="00C44378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</w:pPr>
            <w:r w:rsidRPr="00C44378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t>Leigu-          vélar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E64BC" w:rsidRPr="00C44378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</w:pPr>
            <w:r w:rsidRPr="00C44378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t>Breyt. frá 31.12.13</w:t>
            </w:r>
          </w:p>
        </w:tc>
      </w:tr>
      <w:tr w:rsidR="003E64BC" w:rsidRPr="00374724" w:rsidTr="003E64BC">
        <w:trPr>
          <w:trHeight w:val="227"/>
        </w:trPr>
        <w:tc>
          <w:tcPr>
            <w:tcW w:w="1253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B757 200</w:t>
            </w:r>
          </w:p>
        </w:tc>
        <w:tc>
          <w:tcPr>
            <w:tcW w:w="878" w:type="dxa"/>
            <w:tcBorders>
              <w:top w:val="nil"/>
              <w:left w:val="single" w:sz="4" w:space="0" w:color="D9D9D9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694A06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694A06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694A06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694A06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</w:t>
            </w:r>
          </w:p>
        </w:tc>
      </w:tr>
      <w:tr w:rsidR="003E64BC" w:rsidRPr="00374724" w:rsidTr="003E64BC">
        <w:trPr>
          <w:trHeight w:val="227"/>
        </w:trPr>
        <w:tc>
          <w:tcPr>
            <w:tcW w:w="1253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B757 300</w:t>
            </w:r>
          </w:p>
        </w:tc>
        <w:tc>
          <w:tcPr>
            <w:tcW w:w="878" w:type="dxa"/>
            <w:tcBorders>
              <w:top w:val="nil"/>
              <w:left w:val="single" w:sz="4" w:space="0" w:color="D9D9D9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</w:t>
            </w:r>
          </w:p>
        </w:tc>
      </w:tr>
      <w:tr w:rsidR="003E64BC" w:rsidRPr="00374724" w:rsidTr="003E64BC">
        <w:trPr>
          <w:trHeight w:val="227"/>
        </w:trPr>
        <w:tc>
          <w:tcPr>
            <w:tcW w:w="1253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B767 300</w:t>
            </w:r>
          </w:p>
        </w:tc>
        <w:tc>
          <w:tcPr>
            <w:tcW w:w="878" w:type="dxa"/>
            <w:tcBorders>
              <w:top w:val="nil"/>
              <w:left w:val="single" w:sz="4" w:space="0" w:color="D9D9D9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-1</w:t>
            </w:r>
          </w:p>
        </w:tc>
      </w:tr>
      <w:tr w:rsidR="003E64BC" w:rsidRPr="00374724" w:rsidTr="003E64BC">
        <w:trPr>
          <w:trHeight w:val="227"/>
        </w:trPr>
        <w:tc>
          <w:tcPr>
            <w:tcW w:w="1253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B737 700</w:t>
            </w:r>
          </w:p>
        </w:tc>
        <w:tc>
          <w:tcPr>
            <w:tcW w:w="878" w:type="dxa"/>
            <w:tcBorders>
              <w:top w:val="nil"/>
              <w:left w:val="single" w:sz="4" w:space="0" w:color="D9D9D9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</w:t>
            </w:r>
          </w:p>
        </w:tc>
      </w:tr>
      <w:tr w:rsidR="003E64BC" w:rsidRPr="00374724" w:rsidTr="003E64BC">
        <w:trPr>
          <w:trHeight w:val="227"/>
        </w:trPr>
        <w:tc>
          <w:tcPr>
            <w:tcW w:w="1253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B737 800</w:t>
            </w:r>
          </w:p>
        </w:tc>
        <w:tc>
          <w:tcPr>
            <w:tcW w:w="878" w:type="dxa"/>
            <w:tcBorders>
              <w:top w:val="nil"/>
              <w:left w:val="single" w:sz="4" w:space="0" w:color="D9D9D9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</w:t>
            </w:r>
          </w:p>
        </w:tc>
      </w:tr>
      <w:tr w:rsidR="003E64BC" w:rsidRPr="00374724" w:rsidTr="003E64BC">
        <w:trPr>
          <w:trHeight w:val="227"/>
        </w:trPr>
        <w:tc>
          <w:tcPr>
            <w:tcW w:w="1253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Fokker F-50</w:t>
            </w:r>
          </w:p>
        </w:tc>
        <w:tc>
          <w:tcPr>
            <w:tcW w:w="878" w:type="dxa"/>
            <w:tcBorders>
              <w:top w:val="nil"/>
              <w:left w:val="single" w:sz="4" w:space="0" w:color="D9D9D9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</w:t>
            </w:r>
          </w:p>
        </w:tc>
      </w:tr>
      <w:tr w:rsidR="003E64BC" w:rsidRPr="00374724" w:rsidTr="003E64BC">
        <w:trPr>
          <w:trHeight w:val="227"/>
        </w:trPr>
        <w:tc>
          <w:tcPr>
            <w:tcW w:w="1253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proofErr w:type="spellStart"/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Dash</w:t>
            </w:r>
            <w:proofErr w:type="spellEnd"/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 8-200</w:t>
            </w:r>
          </w:p>
        </w:tc>
        <w:tc>
          <w:tcPr>
            <w:tcW w:w="878" w:type="dxa"/>
            <w:tcBorders>
              <w:top w:val="nil"/>
              <w:left w:val="single" w:sz="4" w:space="0" w:color="D9D9D9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dotted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0</w:t>
            </w:r>
          </w:p>
        </w:tc>
      </w:tr>
      <w:tr w:rsidR="003E64BC" w:rsidRPr="00374724" w:rsidTr="003E64BC">
        <w:trPr>
          <w:trHeight w:val="227"/>
        </w:trPr>
        <w:tc>
          <w:tcPr>
            <w:tcW w:w="125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Samtals</w:t>
            </w:r>
          </w:p>
        </w:tc>
        <w:tc>
          <w:tcPr>
            <w:tcW w:w="878" w:type="dxa"/>
            <w:tcBorders>
              <w:top w:val="single" w:sz="4" w:space="0" w:color="808080"/>
              <w:left w:val="single" w:sz="4" w:space="0" w:color="D9D9D9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21</w:t>
            </w:r>
          </w:p>
        </w:tc>
        <w:tc>
          <w:tcPr>
            <w:tcW w:w="8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694A06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8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8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7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694A0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3</w:t>
            </w:r>
            <w:r w:rsidR="00694A06" w:rsidRPr="00374724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8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D9D9D9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37</w:t>
            </w:r>
          </w:p>
        </w:tc>
        <w:tc>
          <w:tcPr>
            <w:tcW w:w="8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3E64BC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27</w:t>
            </w:r>
          </w:p>
        </w:tc>
        <w:tc>
          <w:tcPr>
            <w:tcW w:w="8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3E64BC" w:rsidRPr="00374724" w:rsidRDefault="00694A06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9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E64BC" w:rsidRPr="00374724" w:rsidRDefault="00694A06" w:rsidP="003E64B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74724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-1</w:t>
            </w:r>
          </w:p>
        </w:tc>
      </w:tr>
    </w:tbl>
    <w:p w:rsidR="001B3726" w:rsidRPr="00D74FC8" w:rsidRDefault="00374724" w:rsidP="00197D62">
      <w:pPr>
        <w:spacing w:before="240"/>
      </w:pPr>
      <w:r w:rsidRPr="00374724">
        <w:t>Eigið fé nam 403</w:t>
      </w:r>
      <w:r w:rsidR="001B3726" w:rsidRPr="00374724">
        <w:t>,</w:t>
      </w:r>
      <w:r w:rsidRPr="00374724">
        <w:t>6</w:t>
      </w:r>
      <w:r w:rsidR="00CC7189" w:rsidRPr="00374724">
        <w:t xml:space="preserve"> milljón</w:t>
      </w:r>
      <w:r w:rsidR="00D74FC8" w:rsidRPr="00374724">
        <w:t>um</w:t>
      </w:r>
      <w:r w:rsidR="00CC7189" w:rsidRPr="00374724">
        <w:t xml:space="preserve"> USD í lok </w:t>
      </w:r>
      <w:r w:rsidRPr="00374724">
        <w:t>þriðja</w:t>
      </w:r>
      <w:r w:rsidR="001B3726" w:rsidRPr="00374724">
        <w:t xml:space="preserve"> ársfjórðun</w:t>
      </w:r>
      <w:r w:rsidRPr="00374724">
        <w:t>gs</w:t>
      </w:r>
      <w:r w:rsidR="00487568">
        <w:t>,</w:t>
      </w:r>
      <w:r w:rsidRPr="00374724">
        <w:t xml:space="preserve"> eiginfjárhlutfallið var 46</w:t>
      </w:r>
      <w:r w:rsidR="001B3726" w:rsidRPr="00374724">
        <w:t>%</w:t>
      </w:r>
      <w:r w:rsidR="00CC7189" w:rsidRPr="00374724">
        <w:t xml:space="preserve"> og hækkaði</w:t>
      </w:r>
      <w:r w:rsidR="00CC7189" w:rsidRPr="00D74FC8">
        <w:t xml:space="preserve"> samanborið við lok </w:t>
      </w:r>
      <w:r>
        <w:t>þriðja</w:t>
      </w:r>
      <w:r w:rsidR="001B3726" w:rsidRPr="00D74FC8">
        <w:t xml:space="preserve"> ársfjórðungs 201</w:t>
      </w:r>
      <w:r>
        <w:t>3 þegar það nam 40</w:t>
      </w:r>
      <w:r w:rsidR="001B3726" w:rsidRPr="00D74FC8">
        <w:t>%. Í árslok 201</w:t>
      </w:r>
      <w:r w:rsidR="00D74FC8" w:rsidRPr="00D74FC8">
        <w:t>3 var eiginfjárhlutfallið 42</w:t>
      </w:r>
      <w:r w:rsidR="001B3726" w:rsidRPr="00D74FC8">
        <w:t>%.</w:t>
      </w:r>
    </w:p>
    <w:p w:rsidR="001B3726" w:rsidRPr="00D74FC8" w:rsidRDefault="00374724" w:rsidP="001B3726">
      <w:r>
        <w:t xml:space="preserve">Vaxtaberandi skuldir námu </w:t>
      </w:r>
      <w:r w:rsidR="00E77D91">
        <w:t>55</w:t>
      </w:r>
      <w:r w:rsidR="001B3726" w:rsidRPr="00D74FC8">
        <w:t>,</w:t>
      </w:r>
      <w:r w:rsidR="00E77D91">
        <w:t>5</w:t>
      </w:r>
      <w:r w:rsidR="001B3726" w:rsidRPr="00D74FC8">
        <w:t xml:space="preserve"> milljón</w:t>
      </w:r>
      <w:r>
        <w:t>um</w:t>
      </w:r>
      <w:r w:rsidR="001B3726" w:rsidRPr="00D74FC8">
        <w:t xml:space="preserve"> USD, samanborið við </w:t>
      </w:r>
      <w:r w:rsidR="00E77D91">
        <w:t>122</w:t>
      </w:r>
      <w:r w:rsidR="001B3726" w:rsidRPr="00D74FC8">
        <w:t>,</w:t>
      </w:r>
      <w:r w:rsidR="00E77D91">
        <w:t>0</w:t>
      </w:r>
      <w:r w:rsidR="001B3726" w:rsidRPr="00D74FC8">
        <w:t xml:space="preserve"> milljónir USD í ársbyrjun. Afborganir langtímasku</w:t>
      </w:r>
      <w:r w:rsidR="00D81EBE" w:rsidRPr="00D74FC8">
        <w:t xml:space="preserve">lda á </w:t>
      </w:r>
      <w:r>
        <w:t xml:space="preserve">þriðja ársfjórðungi námu </w:t>
      </w:r>
      <w:r w:rsidR="00D74FC8" w:rsidRPr="00D74FC8">
        <w:t>3</w:t>
      </w:r>
      <w:r w:rsidR="001B3726" w:rsidRPr="00D74FC8">
        <w:t>,</w:t>
      </w:r>
      <w:r>
        <w:t>6</w:t>
      </w:r>
      <w:r w:rsidR="001B3726" w:rsidRPr="00D74FC8">
        <w:t xml:space="preserve"> milljónum USD.</w:t>
      </w:r>
      <w:r w:rsidR="00A06BA0" w:rsidRPr="00D74FC8">
        <w:t xml:space="preserve"> </w:t>
      </w:r>
      <w:r w:rsidR="001B3726" w:rsidRPr="00D74FC8">
        <w:t>Handbært fé o</w:t>
      </w:r>
      <w:r w:rsidR="00D81EBE" w:rsidRPr="00D74FC8">
        <w:t>g markaðsverðbréf námu samtals 2</w:t>
      </w:r>
      <w:r>
        <w:t>54</w:t>
      </w:r>
      <w:r w:rsidR="001B3726" w:rsidRPr="00D74FC8">
        <w:t>,</w:t>
      </w:r>
      <w:r>
        <w:t>7</w:t>
      </w:r>
      <w:r w:rsidR="00D81EBE" w:rsidRPr="00D74FC8">
        <w:t xml:space="preserve"> milljón</w:t>
      </w:r>
      <w:r w:rsidR="00D74FC8" w:rsidRPr="00D74FC8">
        <w:t>um</w:t>
      </w:r>
      <w:r w:rsidR="00D81EBE" w:rsidRPr="00D74FC8">
        <w:t xml:space="preserve"> USD í lok </w:t>
      </w:r>
      <w:r>
        <w:t>þriðja</w:t>
      </w:r>
      <w:r w:rsidR="001B3726" w:rsidRPr="00D74FC8">
        <w:t xml:space="preserve"> ársfjórðungs 201</w:t>
      </w:r>
      <w:r w:rsidR="00F810E9">
        <w:t>4</w:t>
      </w:r>
      <w:r w:rsidR="001B3726" w:rsidRPr="00D74FC8">
        <w:t xml:space="preserve"> samanborið við 1</w:t>
      </w:r>
      <w:r w:rsidR="00D74FC8" w:rsidRPr="00D74FC8">
        <w:t>99</w:t>
      </w:r>
      <w:r w:rsidR="001B3726" w:rsidRPr="00D74FC8">
        <w:t>,</w:t>
      </w:r>
      <w:r w:rsidR="00D74FC8" w:rsidRPr="00D74FC8">
        <w:t>5</w:t>
      </w:r>
      <w:r w:rsidR="001B3726" w:rsidRPr="00D74FC8">
        <w:t xml:space="preserve"> milljónir USD í byrjun árs. Nettó </w:t>
      </w:r>
      <w:r w:rsidR="00D81EBE" w:rsidRPr="00D74FC8">
        <w:t>vaxtaberandi skuldir námu því -</w:t>
      </w:r>
      <w:r>
        <w:t>199</w:t>
      </w:r>
      <w:r w:rsidR="001B3726" w:rsidRPr="00D74FC8">
        <w:t>,</w:t>
      </w:r>
      <w:r>
        <w:t>2</w:t>
      </w:r>
      <w:r w:rsidR="001B3726" w:rsidRPr="00D74FC8">
        <w:t xml:space="preserve"> milljón</w:t>
      </w:r>
      <w:r>
        <w:t>um</w:t>
      </w:r>
      <w:r w:rsidR="00D74FC8" w:rsidRPr="00D74FC8">
        <w:t xml:space="preserve"> </w:t>
      </w:r>
      <w:r w:rsidR="001B3726" w:rsidRPr="00D74FC8">
        <w:t xml:space="preserve">USD í lok fjórðungsins og lækkuðu um </w:t>
      </w:r>
      <w:r w:rsidR="00D81EBE" w:rsidRPr="00D74FC8">
        <w:t>1</w:t>
      </w:r>
      <w:r>
        <w:t>21</w:t>
      </w:r>
      <w:r w:rsidR="001B3726" w:rsidRPr="00D74FC8">
        <w:t>,</w:t>
      </w:r>
      <w:r w:rsidR="00E77D91">
        <w:t>8</w:t>
      </w:r>
      <w:r w:rsidR="001B3726" w:rsidRPr="00D74FC8">
        <w:t xml:space="preserve"> milljón</w:t>
      </w:r>
      <w:r w:rsidR="00D74FC8" w:rsidRPr="00D74FC8">
        <w:t>ir</w:t>
      </w:r>
      <w:r w:rsidR="001B3726" w:rsidRPr="00D74FC8">
        <w:t xml:space="preserve"> USD frá áramótum.</w:t>
      </w: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1080"/>
        <w:gridCol w:w="1180"/>
        <w:gridCol w:w="1080"/>
        <w:gridCol w:w="1080"/>
      </w:tblGrid>
      <w:tr w:rsidR="00417B2A" w:rsidRPr="00417B2A" w:rsidTr="00417B2A">
        <w:trPr>
          <w:trHeight w:val="225"/>
        </w:trPr>
        <w:tc>
          <w:tcPr>
            <w:tcW w:w="35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17B2A" w:rsidRPr="00417B2A" w:rsidRDefault="00417B2A" w:rsidP="00417B2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Þúsundir USD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30.09.2014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31.12.2013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Breyting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30.09.2013</w:t>
            </w:r>
          </w:p>
        </w:tc>
      </w:tr>
      <w:tr w:rsidR="00417B2A" w:rsidRPr="00417B2A" w:rsidTr="00417B2A">
        <w:trPr>
          <w:trHeight w:val="225"/>
        </w:trPr>
        <w:tc>
          <w:tcPr>
            <w:tcW w:w="35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Vaxtaberandi langtímaskuldir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42.957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78.489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-35.532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83.553</w:t>
            </w:r>
          </w:p>
        </w:tc>
      </w:tr>
      <w:tr w:rsidR="00417B2A" w:rsidRPr="00417B2A" w:rsidTr="00417B2A">
        <w:trPr>
          <w:trHeight w:val="225"/>
        </w:trPr>
        <w:tc>
          <w:tcPr>
            <w:tcW w:w="35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Vaxtaberandi skammtímaskuldir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12.512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43.528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-31.016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44.909</w:t>
            </w:r>
          </w:p>
        </w:tc>
      </w:tr>
      <w:tr w:rsidR="00417B2A" w:rsidRPr="00417B2A" w:rsidTr="00417B2A">
        <w:trPr>
          <w:trHeight w:val="225"/>
        </w:trPr>
        <w:tc>
          <w:tcPr>
            <w:tcW w:w="354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Markaðsverðbréf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27.119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7.955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19.164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2.852</w:t>
            </w:r>
          </w:p>
        </w:tc>
      </w:tr>
      <w:tr w:rsidR="00417B2A" w:rsidRPr="00417B2A" w:rsidTr="00417B2A">
        <w:trPr>
          <w:trHeight w:val="22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Handbært fé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227.576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191.538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36.038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215.484</w:t>
            </w:r>
          </w:p>
        </w:tc>
      </w:tr>
      <w:tr w:rsidR="00417B2A" w:rsidRPr="00417B2A" w:rsidTr="00417B2A">
        <w:trPr>
          <w:trHeight w:val="225"/>
        </w:trPr>
        <w:tc>
          <w:tcPr>
            <w:tcW w:w="35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Nettó vaxtaberandi skuldir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-199.226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-77.476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-121.750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17B2A" w:rsidRPr="00417B2A" w:rsidRDefault="00417B2A" w:rsidP="00417B2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417B2A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-89.874</w:t>
            </w:r>
          </w:p>
        </w:tc>
      </w:tr>
    </w:tbl>
    <w:p w:rsidR="001B3726" w:rsidRPr="00D74FC8" w:rsidRDefault="001B3726" w:rsidP="004F4138">
      <w:pPr>
        <w:pStyle w:val="NoSpacing"/>
      </w:pPr>
      <w:r w:rsidRPr="00D74FC8">
        <w:t>SJÓÐSTREYMI OG FJÁRFESTINGAR</w:t>
      </w:r>
    </w:p>
    <w:p w:rsidR="001B3726" w:rsidRPr="00D74FC8" w:rsidRDefault="001B3726" w:rsidP="001B0C29">
      <w:pPr>
        <w:pStyle w:val="Heading2"/>
      </w:pPr>
      <w:r w:rsidRPr="00D74FC8">
        <w:t xml:space="preserve">Handbært fé </w:t>
      </w:r>
      <w:r w:rsidR="00F9041A" w:rsidRPr="00D74FC8">
        <w:t xml:space="preserve">í lok </w:t>
      </w:r>
      <w:r w:rsidR="00374724">
        <w:t>þriðja</w:t>
      </w:r>
      <w:r w:rsidR="00F9041A" w:rsidRPr="00D74FC8">
        <w:t xml:space="preserve"> ársfjórðungs </w:t>
      </w:r>
      <w:r w:rsidRPr="00D74FC8">
        <w:t xml:space="preserve">var </w:t>
      </w:r>
      <w:r w:rsidR="003B1BD4" w:rsidRPr="00D74FC8">
        <w:t>2</w:t>
      </w:r>
      <w:r w:rsidR="00374724">
        <w:t>2</w:t>
      </w:r>
      <w:r w:rsidR="007B3B05" w:rsidRPr="00D74FC8">
        <w:t>7</w:t>
      </w:r>
      <w:r w:rsidRPr="00D74FC8">
        <w:t>,</w:t>
      </w:r>
      <w:r w:rsidR="00374724">
        <w:t>6</w:t>
      </w:r>
      <w:r w:rsidRPr="00D74FC8">
        <w:t xml:space="preserve"> milljónir USD.</w:t>
      </w:r>
    </w:p>
    <w:p w:rsidR="001B3726" w:rsidRPr="0078747C" w:rsidRDefault="001B3726" w:rsidP="001B0C29">
      <w:pPr>
        <w:pStyle w:val="Heading2"/>
      </w:pPr>
      <w:r w:rsidRPr="0078747C">
        <w:t xml:space="preserve">Fjárfestingar </w:t>
      </w:r>
      <w:r w:rsidR="003B1BD4" w:rsidRPr="0078747C">
        <w:t xml:space="preserve">námu </w:t>
      </w:r>
      <w:r w:rsidR="00374724">
        <w:t>28</w:t>
      </w:r>
      <w:r w:rsidR="0078747C" w:rsidRPr="0078747C">
        <w:t>,</w:t>
      </w:r>
      <w:r w:rsidR="00374724">
        <w:t>3</w:t>
      </w:r>
      <w:r w:rsidRPr="0078747C">
        <w:t xml:space="preserve"> milljón</w:t>
      </w:r>
      <w:r w:rsidR="003C4F2D" w:rsidRPr="0078747C">
        <w:t>um</w:t>
      </w:r>
      <w:r w:rsidRPr="0078747C">
        <w:t xml:space="preserve"> USD.</w:t>
      </w:r>
    </w:p>
    <w:p w:rsidR="001B3726" w:rsidRPr="00D74FC8" w:rsidRDefault="000030AB" w:rsidP="00670B19">
      <w:pPr>
        <w:pStyle w:val="Heading2"/>
        <w:spacing w:after="240"/>
        <w:ind w:left="357" w:hanging="357"/>
      </w:pPr>
      <w:r w:rsidRPr="00D74FC8">
        <w:t>Afborganir</w:t>
      </w:r>
      <w:r w:rsidR="001B3726" w:rsidRPr="00D74FC8">
        <w:t xml:space="preserve"> langtímalána n</w:t>
      </w:r>
      <w:r w:rsidRPr="00D74FC8">
        <w:t>ámu</w:t>
      </w:r>
      <w:r w:rsidR="003B1BD4" w:rsidRPr="00D74FC8">
        <w:t xml:space="preserve"> 3</w:t>
      </w:r>
      <w:r w:rsidR="001B3726" w:rsidRPr="00D74FC8">
        <w:t>,</w:t>
      </w:r>
      <w:r w:rsidR="00374724">
        <w:t>6</w:t>
      </w:r>
      <w:r w:rsidR="001B3726" w:rsidRPr="00D74FC8">
        <w:t xml:space="preserve"> milljónum USD.</w:t>
      </w: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080"/>
        <w:gridCol w:w="1080"/>
        <w:gridCol w:w="1080"/>
      </w:tblGrid>
      <w:tr w:rsidR="00300C0B" w:rsidRPr="00300C0B" w:rsidTr="00300C0B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Þúsundir USD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Breyting</w:t>
            </w:r>
          </w:p>
        </w:tc>
      </w:tr>
      <w:tr w:rsidR="00300C0B" w:rsidRPr="00300C0B" w:rsidTr="00300C0B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Veltufé frá rekstri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135.211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111.138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24.073</w:t>
            </w:r>
          </w:p>
        </w:tc>
      </w:tr>
      <w:tr w:rsidR="00300C0B" w:rsidRPr="00300C0B" w:rsidTr="00300C0B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487568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Handbært fé frá rekstri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5.767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30.272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-24.505</w:t>
            </w:r>
          </w:p>
        </w:tc>
      </w:tr>
      <w:tr w:rsidR="00300C0B" w:rsidRPr="00300C0B" w:rsidTr="00300C0B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Fjárfestingahreyfingar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-38.383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-24.288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-14.095</w:t>
            </w:r>
          </w:p>
        </w:tc>
      </w:tr>
      <w:tr w:rsidR="00300C0B" w:rsidRPr="00300C0B" w:rsidTr="00300C0B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Fjármögnunarhreyfingar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-3.622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-10.361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6.739</w:t>
            </w:r>
          </w:p>
        </w:tc>
      </w:tr>
      <w:tr w:rsidR="00300C0B" w:rsidRPr="00300C0B" w:rsidTr="00300C0B">
        <w:trPr>
          <w:trHeight w:val="22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Handbært fé, breyting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-36.238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-4.377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404040"/>
                <w:sz w:val="16"/>
                <w:szCs w:val="16"/>
                <w:lang w:eastAsia="is-IS"/>
              </w:rPr>
              <w:t>-31.861</w:t>
            </w:r>
          </w:p>
        </w:tc>
      </w:tr>
      <w:tr w:rsidR="00300C0B" w:rsidRPr="00300C0B" w:rsidTr="00300C0B">
        <w:trPr>
          <w:trHeight w:val="225"/>
        </w:trPr>
        <w:tc>
          <w:tcPr>
            <w:tcW w:w="38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Handbært fé í lok tímabils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eastAsia="is-IS"/>
              </w:rPr>
              <w:t>227.576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eastAsia="is-IS"/>
              </w:rPr>
              <w:t>215.484</w:t>
            </w:r>
          </w:p>
        </w:tc>
        <w:tc>
          <w:tcPr>
            <w:tcW w:w="108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404040"/>
                <w:sz w:val="16"/>
                <w:szCs w:val="16"/>
                <w:lang w:eastAsia="is-IS"/>
              </w:rPr>
              <w:t>12.092</w:t>
            </w:r>
          </w:p>
        </w:tc>
      </w:tr>
    </w:tbl>
    <w:p w:rsidR="001F19DC" w:rsidRDefault="001B3726" w:rsidP="0036752C">
      <w:pPr>
        <w:spacing w:before="240"/>
      </w:pPr>
      <w:r w:rsidRPr="00DE08C8">
        <w:t xml:space="preserve">Handbært fé frá rekstri á </w:t>
      </w:r>
      <w:r w:rsidR="00374724">
        <w:t>þriðja</w:t>
      </w:r>
      <w:r w:rsidRPr="00DE08C8">
        <w:t xml:space="preserve"> ársfjórðungi nam </w:t>
      </w:r>
      <w:r w:rsidR="00374724">
        <w:t>5</w:t>
      </w:r>
      <w:r w:rsidRPr="00DE08C8">
        <w:t>,</w:t>
      </w:r>
      <w:r w:rsidR="00374724">
        <w:t>8</w:t>
      </w:r>
      <w:r w:rsidR="001B62D0" w:rsidRPr="00DE08C8">
        <w:t xml:space="preserve"> milljónum USD og </w:t>
      </w:r>
      <w:r w:rsidR="007B3B05" w:rsidRPr="00DE08C8">
        <w:t>l</w:t>
      </w:r>
      <w:r w:rsidR="003B1BD4" w:rsidRPr="00DE08C8">
        <w:t>ækkaði um</w:t>
      </w:r>
      <w:r w:rsidRPr="00DE08C8">
        <w:t xml:space="preserve"> </w:t>
      </w:r>
      <w:r w:rsidR="007B3B05" w:rsidRPr="00DE08C8">
        <w:t>2</w:t>
      </w:r>
      <w:r w:rsidR="00374724">
        <w:t>4</w:t>
      </w:r>
      <w:r w:rsidR="001B62D0" w:rsidRPr="00DE08C8">
        <w:t>,</w:t>
      </w:r>
      <w:r w:rsidR="00374724">
        <w:t>5</w:t>
      </w:r>
      <w:r w:rsidRPr="00DE08C8">
        <w:t xml:space="preserve"> milljónir USD miðað við </w:t>
      </w:r>
      <w:r w:rsidR="00374724">
        <w:t>þriðja</w:t>
      </w:r>
      <w:r w:rsidR="007B3B05" w:rsidRPr="00DE08C8">
        <w:t xml:space="preserve"> ársfjórðung 2013</w:t>
      </w:r>
      <w:r w:rsidRPr="00DE08C8">
        <w:t>. Fjárfestingar í varanlegum rekstrarfjárm</w:t>
      </w:r>
      <w:r w:rsidR="003B1BD4" w:rsidRPr="00DE08C8">
        <w:t xml:space="preserve">unum námu </w:t>
      </w:r>
      <w:r w:rsidR="002E3667">
        <w:t>1</w:t>
      </w:r>
      <w:r w:rsidR="00374724">
        <w:t>7</w:t>
      </w:r>
      <w:r w:rsidRPr="00DE08C8">
        <w:t>,</w:t>
      </w:r>
      <w:r w:rsidR="00374724">
        <w:t>6</w:t>
      </w:r>
      <w:r w:rsidRPr="00DE08C8">
        <w:t xml:space="preserve"> milljón</w:t>
      </w:r>
      <w:r w:rsidR="003C4F2D" w:rsidRPr="00DE08C8">
        <w:t>um</w:t>
      </w:r>
      <w:r w:rsidRPr="00DE08C8">
        <w:t xml:space="preserve"> USD. </w:t>
      </w:r>
      <w:r w:rsidR="00DE08C8" w:rsidRPr="00DE08C8">
        <w:t>Niðurbrot á helstu fjár</w:t>
      </w:r>
      <w:r w:rsidR="009A7A68">
        <w:t>f</w:t>
      </w:r>
      <w:r w:rsidR="00DE08C8" w:rsidRPr="00DE08C8">
        <w:t>estin</w:t>
      </w:r>
      <w:r w:rsidR="009A7A68">
        <w:t>g</w:t>
      </w:r>
      <w:r w:rsidR="00DE08C8" w:rsidRPr="00DE08C8">
        <w:t>um má sjá í töflunni hér á eftir:</w:t>
      </w:r>
    </w:p>
    <w:p w:rsidR="00417B2A" w:rsidRDefault="00417B2A" w:rsidP="0036752C">
      <w:pPr>
        <w:spacing w:before="240"/>
      </w:pPr>
    </w:p>
    <w:p w:rsidR="00417B2A" w:rsidRDefault="00417B2A" w:rsidP="0036752C">
      <w:pPr>
        <w:spacing w:before="240"/>
      </w:pPr>
    </w:p>
    <w:p w:rsidR="00417B2A" w:rsidRDefault="00417B2A" w:rsidP="0036752C">
      <w:pPr>
        <w:spacing w:before="240"/>
      </w:pPr>
    </w:p>
    <w:tbl>
      <w:tblPr>
        <w:tblW w:w="3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020"/>
      </w:tblGrid>
      <w:tr w:rsidR="00300C0B" w:rsidRPr="00300C0B" w:rsidTr="00300C0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lastRenderedPageBreak/>
              <w:t>Þúsundir USD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 xml:space="preserve">3. </w:t>
            </w:r>
            <w:proofErr w:type="spellStart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ársfj</w:t>
            </w:r>
            <w:proofErr w:type="spellEnd"/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. '14</w:t>
            </w:r>
          </w:p>
        </w:tc>
      </w:tr>
      <w:tr w:rsidR="00300C0B" w:rsidRPr="00300C0B" w:rsidTr="00300C0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Varanlegir rekstrarfjármunir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</w:tr>
      <w:tr w:rsidR="00300C0B" w:rsidRPr="00300C0B" w:rsidTr="00300C0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  Flugvélar og fylgihlutir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6.108</w:t>
            </w:r>
          </w:p>
        </w:tc>
      </w:tr>
      <w:tr w:rsidR="00300C0B" w:rsidRPr="00300C0B" w:rsidTr="00300C0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  Hreyflayfirhöl eigin vélar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6.352</w:t>
            </w:r>
          </w:p>
        </w:tc>
      </w:tr>
      <w:tr w:rsidR="00300C0B" w:rsidRPr="00300C0B" w:rsidTr="00300C0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  Aðrar fjárfestingar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5.12</w:t>
            </w:r>
            <w:r w:rsidR="0048756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9</w:t>
            </w:r>
          </w:p>
        </w:tc>
      </w:tr>
      <w:tr w:rsidR="00300C0B" w:rsidRPr="00300C0B" w:rsidTr="00300C0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Varanlegir rekstrarfjármunir alls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17.58</w:t>
            </w:r>
            <w:r w:rsidR="00487568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9</w:t>
            </w:r>
          </w:p>
        </w:tc>
      </w:tr>
      <w:tr w:rsidR="00300C0B" w:rsidRPr="00300C0B" w:rsidTr="00300C0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Langtímakostnaður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 </w:t>
            </w:r>
          </w:p>
        </w:tc>
      </w:tr>
      <w:tr w:rsidR="00300C0B" w:rsidRPr="00300C0B" w:rsidTr="00300C0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 xml:space="preserve"> Hreyflayfirhöl á leiguvélum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10.313</w:t>
            </w:r>
          </w:p>
        </w:tc>
      </w:tr>
      <w:tr w:rsidR="00300C0B" w:rsidRPr="00300C0B" w:rsidTr="00300C0B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Óefnislegar eignir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95959"/>
                <w:sz w:val="16"/>
                <w:szCs w:val="16"/>
                <w:lang w:eastAsia="is-IS"/>
              </w:rPr>
              <w:t>373</w:t>
            </w:r>
          </w:p>
        </w:tc>
      </w:tr>
      <w:tr w:rsidR="00300C0B" w:rsidRPr="00300C0B" w:rsidTr="00300C0B">
        <w:trPr>
          <w:trHeight w:val="255"/>
        </w:trPr>
        <w:tc>
          <w:tcPr>
            <w:tcW w:w="26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Fjárfestingar samtals</w:t>
            </w:r>
          </w:p>
        </w:tc>
        <w:tc>
          <w:tcPr>
            <w:tcW w:w="102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EBECEC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28.27</w:t>
            </w:r>
            <w:r w:rsidR="00487568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5</w:t>
            </w:r>
          </w:p>
        </w:tc>
      </w:tr>
    </w:tbl>
    <w:p w:rsidR="006C141F" w:rsidRDefault="00374724" w:rsidP="002D0575">
      <w:pPr>
        <w:spacing w:before="240"/>
      </w:pPr>
      <w:r>
        <w:t>Afborganir</w:t>
      </w:r>
      <w:r w:rsidR="003B1BD4" w:rsidRPr="00D74FC8">
        <w:t xml:space="preserve"> langtímalána námu 3</w:t>
      </w:r>
      <w:r w:rsidR="001B3726" w:rsidRPr="00D74FC8">
        <w:t>,</w:t>
      </w:r>
      <w:r>
        <w:t>6</w:t>
      </w:r>
      <w:r w:rsidR="001B3726" w:rsidRPr="00D74FC8">
        <w:t xml:space="preserve"> milljónum USD á fjórðungnum. Handbært fé </w:t>
      </w:r>
      <w:r>
        <w:t>lækkaði um 36</w:t>
      </w:r>
      <w:r w:rsidR="001B3726" w:rsidRPr="00D74FC8">
        <w:t>,</w:t>
      </w:r>
      <w:r>
        <w:t>2</w:t>
      </w:r>
      <w:r w:rsidR="001B3726" w:rsidRPr="00D74FC8">
        <w:t xml:space="preserve"> milljónir USD</w:t>
      </w:r>
      <w:r w:rsidR="008E366E" w:rsidRPr="00D74FC8">
        <w:t xml:space="preserve"> en </w:t>
      </w:r>
      <w:r>
        <w:t>lækkun</w:t>
      </w:r>
      <w:r w:rsidR="001B3726" w:rsidRPr="00D74FC8">
        <w:t xml:space="preserve"> á sama tíma á síðasta ári nam </w:t>
      </w:r>
      <w:r>
        <w:t>4</w:t>
      </w:r>
      <w:r w:rsidR="001B3726" w:rsidRPr="00D74FC8">
        <w:t>,</w:t>
      </w:r>
      <w:r>
        <w:t>4</w:t>
      </w:r>
      <w:r w:rsidR="001B3726" w:rsidRPr="00D74FC8">
        <w:t xml:space="preserve"> milljónum USD.</w:t>
      </w:r>
    </w:p>
    <w:p w:rsidR="001B3726" w:rsidRPr="008B4E1D" w:rsidRDefault="001B3726" w:rsidP="00017C2E">
      <w:pPr>
        <w:pStyle w:val="NoSpacing"/>
      </w:pPr>
      <w:r w:rsidRPr="003B1BD4">
        <w:t xml:space="preserve"> </w:t>
      </w:r>
      <w:r w:rsidRPr="008B4E1D">
        <w:t>HORFUR Í REKSTRI</w:t>
      </w:r>
      <w:r w:rsidR="003C4F2D" w:rsidRPr="008B4E1D">
        <w:t xml:space="preserve"> </w:t>
      </w:r>
      <w:r w:rsidRPr="008B4E1D">
        <w:t>ICELANDAIR GROUP HF.</w:t>
      </w:r>
    </w:p>
    <w:p w:rsidR="00851946" w:rsidRPr="008B4E1D" w:rsidRDefault="00851946" w:rsidP="00851946">
      <w:pPr>
        <w:pStyle w:val="Heading2"/>
      </w:pPr>
      <w:r>
        <w:t>Áframhaldandi innri vöxtur</w:t>
      </w:r>
      <w:r w:rsidR="009C60E2">
        <w:t>.</w:t>
      </w:r>
    </w:p>
    <w:p w:rsidR="00851946" w:rsidRPr="00D92955" w:rsidRDefault="00851946" w:rsidP="00851946">
      <w:pPr>
        <w:pStyle w:val="Heading2"/>
        <w:ind w:left="357" w:hanging="357"/>
      </w:pPr>
      <w:r w:rsidRPr="00D92955">
        <w:t>Nýtt hótel opnað í byrjun árs 2016</w:t>
      </w:r>
      <w:r w:rsidR="009C60E2">
        <w:t>.</w:t>
      </w:r>
    </w:p>
    <w:p w:rsidR="00851946" w:rsidRPr="00D92955" w:rsidRDefault="00051D7D" w:rsidP="00851946">
      <w:pPr>
        <w:pStyle w:val="Heading2"/>
        <w:spacing w:after="240"/>
        <w:ind w:left="357" w:hanging="357"/>
      </w:pPr>
      <w:r>
        <w:t>Samningaviðræður við FÍA standa yfir</w:t>
      </w:r>
      <w:r w:rsidR="009C60E2">
        <w:t>.</w:t>
      </w:r>
    </w:p>
    <w:p w:rsidR="00851946" w:rsidRPr="003B6767" w:rsidRDefault="00851946" w:rsidP="00851946">
      <w:pPr>
        <w:spacing w:after="200"/>
        <w:rPr>
          <w:rFonts w:cs="Arial"/>
          <w:szCs w:val="20"/>
        </w:rPr>
      </w:pPr>
      <w:r w:rsidRPr="003B6767">
        <w:t>Horfur í millilandastarfsemi félagsins eru góðar.</w:t>
      </w:r>
      <w:r>
        <w:t xml:space="preserve"> </w:t>
      </w:r>
      <w:r w:rsidRPr="003B6767">
        <w:t>Félagið kynnti í byrjun september flugáætlun fyrir árið 2015 sem verður</w:t>
      </w:r>
      <w:r w:rsidRPr="003B6767">
        <w:rPr>
          <w:rFonts w:cs="Arial"/>
          <w:szCs w:val="20"/>
        </w:rPr>
        <w:t xml:space="preserve"> sú stærsta í sögu félagsins og um 12% umfangsmeiri en </w:t>
      </w:r>
      <w:r>
        <w:rPr>
          <w:rFonts w:cs="Arial"/>
          <w:szCs w:val="20"/>
        </w:rPr>
        <w:t>áætlun</w:t>
      </w:r>
      <w:r w:rsidRPr="003B6767">
        <w:rPr>
          <w:rFonts w:cs="Arial"/>
          <w:szCs w:val="20"/>
        </w:rPr>
        <w:t xml:space="preserve"> ár</w:t>
      </w:r>
      <w:r>
        <w:rPr>
          <w:rFonts w:cs="Arial"/>
          <w:szCs w:val="20"/>
        </w:rPr>
        <w:t>sins</w:t>
      </w:r>
      <w:r w:rsidRPr="003B6767">
        <w:rPr>
          <w:rFonts w:cs="Arial"/>
          <w:szCs w:val="20"/>
        </w:rPr>
        <w:t xml:space="preserve"> 2014. </w:t>
      </w:r>
      <w:r>
        <w:rPr>
          <w:rFonts w:cs="Arial"/>
          <w:szCs w:val="20"/>
        </w:rPr>
        <w:t xml:space="preserve">Á árinu 2015 verður hafið flug </w:t>
      </w:r>
      <w:r w:rsidRPr="003B6767">
        <w:rPr>
          <w:rFonts w:cs="Arial"/>
          <w:szCs w:val="20"/>
        </w:rPr>
        <w:t xml:space="preserve">til tveggja nýrra áfangastaða og ferðum fjölgað til ýmissa borga í </w:t>
      </w:r>
      <w:proofErr w:type="spellStart"/>
      <w:r w:rsidRPr="003B6767">
        <w:rPr>
          <w:rFonts w:cs="Arial"/>
          <w:szCs w:val="20"/>
        </w:rPr>
        <w:t>Norður-Ameríku</w:t>
      </w:r>
      <w:proofErr w:type="spellEnd"/>
      <w:r w:rsidRPr="003B6767">
        <w:rPr>
          <w:rFonts w:cs="Arial"/>
          <w:szCs w:val="20"/>
        </w:rPr>
        <w:t xml:space="preserve"> og Evrópu. </w:t>
      </w:r>
      <w:r w:rsidRPr="003B6767">
        <w:t xml:space="preserve">Nýir áfangastaðir verða Portland í </w:t>
      </w:r>
      <w:proofErr w:type="spellStart"/>
      <w:r>
        <w:t>Ore</w:t>
      </w:r>
      <w:r w:rsidRPr="003B6767">
        <w:t>gon</w:t>
      </w:r>
      <w:r>
        <w:t>ríki</w:t>
      </w:r>
      <w:proofErr w:type="spellEnd"/>
      <w:r w:rsidRPr="003B6767">
        <w:t xml:space="preserve"> á vesturströnd Bandaríkjanna og </w:t>
      </w:r>
      <w:proofErr w:type="spellStart"/>
      <w:r w:rsidRPr="003B6767">
        <w:t>Birmingham</w:t>
      </w:r>
      <w:proofErr w:type="spellEnd"/>
      <w:r w:rsidRPr="003B6767">
        <w:t xml:space="preserve"> á Bretlandi. Flugi til St. Pétursborgar verður hætt. </w:t>
      </w:r>
      <w:r w:rsidRPr="003B6767">
        <w:rPr>
          <w:rFonts w:cs="Arial"/>
          <w:szCs w:val="20"/>
        </w:rPr>
        <w:t xml:space="preserve">Gert er ráð fyrir að farþegar verði um 2,9 milljónir á árinu 2015, en áætlað er að þeir verði um 2,6 milljónir á yfirstandandi ári. Alls verða 23 </w:t>
      </w:r>
      <w:proofErr w:type="spellStart"/>
      <w:r w:rsidRPr="003B6767">
        <w:rPr>
          <w:rFonts w:cs="Arial"/>
          <w:szCs w:val="20"/>
        </w:rPr>
        <w:t>Boeing</w:t>
      </w:r>
      <w:proofErr w:type="spellEnd"/>
      <w:r w:rsidRPr="003B6767">
        <w:rPr>
          <w:rFonts w:cs="Arial"/>
          <w:szCs w:val="20"/>
        </w:rPr>
        <w:t xml:space="preserve"> 757 flugvélar </w:t>
      </w:r>
      <w:proofErr w:type="spellStart"/>
      <w:r w:rsidRPr="003B6767">
        <w:rPr>
          <w:rFonts w:cs="Arial"/>
          <w:szCs w:val="20"/>
        </w:rPr>
        <w:t>nýttar</w:t>
      </w:r>
      <w:proofErr w:type="spellEnd"/>
      <w:r w:rsidRPr="003B6767">
        <w:rPr>
          <w:rFonts w:cs="Arial"/>
          <w:szCs w:val="20"/>
        </w:rPr>
        <w:t xml:space="preserve"> til farþegaflugsins næsta sumar, </w:t>
      </w:r>
      <w:r>
        <w:rPr>
          <w:rFonts w:cs="Arial"/>
          <w:szCs w:val="20"/>
        </w:rPr>
        <w:t>tv</w:t>
      </w:r>
      <w:r w:rsidR="00035FC0">
        <w:rPr>
          <w:rFonts w:cs="Arial"/>
          <w:szCs w:val="20"/>
        </w:rPr>
        <w:t>eimur</w:t>
      </w:r>
      <w:r w:rsidRPr="003B6767">
        <w:rPr>
          <w:rFonts w:cs="Arial"/>
          <w:szCs w:val="20"/>
        </w:rPr>
        <w:t xml:space="preserve"> fleiri en á þessu ári.</w:t>
      </w:r>
    </w:p>
    <w:p w:rsidR="00851946" w:rsidRPr="003B6767" w:rsidRDefault="00851946" w:rsidP="00851946">
      <w:pPr>
        <w:spacing w:after="200"/>
      </w:pPr>
      <w:r w:rsidRPr="003B6767">
        <w:rPr>
          <w:rFonts w:cs="Arial"/>
          <w:szCs w:val="20"/>
        </w:rPr>
        <w:t>Leiðakerfi félagsins hefur einkum byggt á tengingum á Keflavíkurflugvelli með morgun</w:t>
      </w:r>
      <w:r>
        <w:rPr>
          <w:rFonts w:cs="Arial"/>
          <w:szCs w:val="20"/>
        </w:rPr>
        <w:t>flugi</w:t>
      </w:r>
      <w:r w:rsidRPr="003B6767">
        <w:rPr>
          <w:rFonts w:cs="Arial"/>
          <w:szCs w:val="20"/>
        </w:rPr>
        <w:t xml:space="preserve"> til Evrópuborga og síðdegisflugi til </w:t>
      </w:r>
      <w:proofErr w:type="spellStart"/>
      <w:r w:rsidRPr="003B6767">
        <w:rPr>
          <w:rFonts w:cs="Arial"/>
          <w:szCs w:val="20"/>
        </w:rPr>
        <w:t>Norður-Ameríku</w:t>
      </w:r>
      <w:proofErr w:type="spellEnd"/>
      <w:r w:rsidRPr="003B6767">
        <w:rPr>
          <w:rFonts w:cs="Arial"/>
          <w:szCs w:val="20"/>
        </w:rPr>
        <w:t xml:space="preserve">. Undanfarin ár hefur félagið </w:t>
      </w:r>
      <w:r>
        <w:rPr>
          <w:rFonts w:cs="Arial"/>
          <w:szCs w:val="20"/>
        </w:rPr>
        <w:t>byggt</w:t>
      </w:r>
      <w:r w:rsidRPr="003B6767">
        <w:rPr>
          <w:rFonts w:cs="Arial"/>
          <w:szCs w:val="20"/>
        </w:rPr>
        <w:t xml:space="preserve"> upp annan tengibanka, með brottförum </w:t>
      </w:r>
      <w:r w:rsidR="00051D7D">
        <w:rPr>
          <w:rFonts w:cs="Arial"/>
          <w:szCs w:val="20"/>
        </w:rPr>
        <w:t xml:space="preserve">til </w:t>
      </w:r>
      <w:proofErr w:type="spellStart"/>
      <w:r w:rsidR="00051D7D">
        <w:rPr>
          <w:rFonts w:cs="Arial"/>
          <w:szCs w:val="20"/>
        </w:rPr>
        <w:t>Norður-Ameríku</w:t>
      </w:r>
      <w:proofErr w:type="spellEnd"/>
      <w:r w:rsidR="00051D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skömmu</w:t>
      </w:r>
      <w:r w:rsidRPr="003B6767">
        <w:rPr>
          <w:rFonts w:cs="Arial"/>
          <w:szCs w:val="20"/>
        </w:rPr>
        <w:t xml:space="preserve"> fyrir hádegi. </w:t>
      </w:r>
      <w:r w:rsidR="00051D7D">
        <w:rPr>
          <w:rFonts w:cs="Arial"/>
          <w:szCs w:val="20"/>
        </w:rPr>
        <w:t>Á þessu ári hafa verið</w:t>
      </w:r>
      <w:r w:rsidRPr="003B6767">
        <w:rPr>
          <w:rFonts w:cs="Arial"/>
          <w:szCs w:val="20"/>
        </w:rPr>
        <w:t xml:space="preserve"> tvær daglegar brottfarir í þeim tengibanka til </w:t>
      </w:r>
      <w:proofErr w:type="spellStart"/>
      <w:r w:rsidRPr="003B6767">
        <w:rPr>
          <w:rFonts w:cs="Arial"/>
          <w:szCs w:val="20"/>
        </w:rPr>
        <w:t>Norður-Ameríku</w:t>
      </w:r>
      <w:proofErr w:type="spellEnd"/>
      <w:r w:rsidRPr="003B6767">
        <w:rPr>
          <w:rFonts w:cs="Arial"/>
          <w:szCs w:val="20"/>
        </w:rPr>
        <w:t xml:space="preserve"> og </w:t>
      </w:r>
      <w:proofErr w:type="spellStart"/>
      <w:r w:rsidRPr="003B6767">
        <w:rPr>
          <w:rFonts w:cs="Arial"/>
          <w:szCs w:val="20"/>
        </w:rPr>
        <w:t>fjórar</w:t>
      </w:r>
      <w:proofErr w:type="spellEnd"/>
      <w:r w:rsidRPr="003B6767">
        <w:rPr>
          <w:rFonts w:cs="Arial"/>
          <w:szCs w:val="20"/>
        </w:rPr>
        <w:t xml:space="preserve"> brottfarir til Evrópuborga</w:t>
      </w:r>
      <w:r w:rsidR="00051D7D">
        <w:rPr>
          <w:rFonts w:cs="Arial"/>
          <w:szCs w:val="20"/>
        </w:rPr>
        <w:t xml:space="preserve"> að kvöldi</w:t>
      </w:r>
      <w:r w:rsidRPr="003B6767">
        <w:rPr>
          <w:rFonts w:cs="Arial"/>
          <w:szCs w:val="20"/>
        </w:rPr>
        <w:t xml:space="preserve">. Flugáætlun ársins 2015 gerir ráð fyrir að þriðja daglega brottförin til </w:t>
      </w:r>
      <w:proofErr w:type="spellStart"/>
      <w:r w:rsidRPr="003B6767">
        <w:rPr>
          <w:rFonts w:cs="Arial"/>
          <w:szCs w:val="20"/>
        </w:rPr>
        <w:t>Norður-Ameríku</w:t>
      </w:r>
      <w:proofErr w:type="spellEnd"/>
      <w:r w:rsidRPr="003B6767">
        <w:rPr>
          <w:rFonts w:cs="Arial"/>
          <w:szCs w:val="20"/>
        </w:rPr>
        <w:t xml:space="preserve"> </w:t>
      </w:r>
      <w:proofErr w:type="spellStart"/>
      <w:r w:rsidRPr="003B6767">
        <w:rPr>
          <w:rFonts w:cs="Arial"/>
          <w:szCs w:val="20"/>
        </w:rPr>
        <w:t>bætist</w:t>
      </w:r>
      <w:proofErr w:type="spellEnd"/>
      <w:r w:rsidRPr="003B6767">
        <w:rPr>
          <w:rFonts w:cs="Arial"/>
          <w:szCs w:val="20"/>
        </w:rPr>
        <w:t xml:space="preserve"> við og fimmta brottförin til Evrópu. Stækkunin á þessum tengibanka gefur möguleika á tveimur mismunandi brottfarartímum innan sama dags á áfangastaði, sem dreifir álagi á Keflavíkurflugvelli og styður vel við aðaltengibanka</w:t>
      </w:r>
      <w:r>
        <w:rPr>
          <w:rFonts w:cs="Arial"/>
          <w:szCs w:val="20"/>
        </w:rPr>
        <w:t xml:space="preserve"> félagsins</w:t>
      </w:r>
      <w:r w:rsidRPr="003B676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3B6767">
        <w:t xml:space="preserve"> </w:t>
      </w:r>
    </w:p>
    <w:p w:rsidR="00851946" w:rsidRPr="001F276B" w:rsidRDefault="00851946" w:rsidP="006D4B28">
      <w:pPr>
        <w:pStyle w:val="NormalWeb"/>
        <w:spacing w:line="276" w:lineRule="auto"/>
        <w:jc w:val="both"/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</w:pPr>
      <w:r w:rsidRPr="003B6767"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 xml:space="preserve">Í lok september var tilkynnt um frekari vaxtaáform í </w:t>
      </w:r>
      <w:proofErr w:type="spellStart"/>
      <w:r w:rsidRPr="003B6767"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>hótelrekstri</w:t>
      </w:r>
      <w:proofErr w:type="spellEnd"/>
      <w:r w:rsidRPr="003B6767"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 xml:space="preserve"> félagsins.</w:t>
      </w:r>
      <w:r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 xml:space="preserve"> </w:t>
      </w:r>
      <w:r w:rsidR="00E6559E"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 xml:space="preserve">Áætlað er að opna nýtt </w:t>
      </w:r>
      <w:r w:rsidRPr="003B6767"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 xml:space="preserve">hótel í miðbæ Reykjavíkur </w:t>
      </w:r>
      <w:r w:rsidR="00B25B07"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>á vormánuðum ársins</w:t>
      </w:r>
      <w:r w:rsidRPr="003B6767"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 xml:space="preserve"> 2016 í fasteign sem verður endurbyggð frá grunni.</w:t>
      </w:r>
      <w:r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 xml:space="preserve"> </w:t>
      </w:r>
      <w:r w:rsidRPr="003B6767"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 xml:space="preserve">Alls verða 70 herbergi á hótelinu. Þessi viðbót ásamt Icelandair hótel Reykjavík </w:t>
      </w:r>
      <w:proofErr w:type="spellStart"/>
      <w:r w:rsidRPr="003B6767"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>Kultura</w:t>
      </w:r>
      <w:proofErr w:type="spellEnd"/>
      <w:r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 xml:space="preserve"> á</w:t>
      </w:r>
      <w:r w:rsidRPr="003B6767"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 xml:space="preserve"> Hverfisgötu, og stækkun Icelandair </w:t>
      </w:r>
      <w:r w:rsidR="0073194A"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>h</w:t>
      </w:r>
      <w:r w:rsidRPr="003B6767"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 xml:space="preserve">ótel Reykjavík Marina við Reykjavíkurhöfn er í takt við stefnu félagsins um að sækja markvisst betur borgandi farþega til </w:t>
      </w:r>
      <w:r w:rsidRPr="001F276B"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 xml:space="preserve">landsins og leitast þannig við að auka arðsemi félagsins og </w:t>
      </w:r>
      <w:r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>íslenskrar ferðaþjónustu</w:t>
      </w:r>
      <w:r w:rsidRPr="001F276B">
        <w:rPr>
          <w:rFonts w:ascii="Arial" w:eastAsiaTheme="minorHAnsi" w:hAnsi="Arial" w:cs="Arial"/>
          <w:color w:val="595959" w:themeColor="text1" w:themeTint="A6"/>
          <w:sz w:val="20"/>
          <w:szCs w:val="20"/>
          <w:lang w:eastAsia="en-US"/>
        </w:rPr>
        <w:t>.</w:t>
      </w:r>
    </w:p>
    <w:p w:rsidR="00851946" w:rsidRDefault="00851946" w:rsidP="00851946">
      <w:pPr>
        <w:spacing w:after="200"/>
      </w:pPr>
      <w:r w:rsidRPr="001F276B">
        <w:rPr>
          <w:rFonts w:cs="Arial"/>
          <w:szCs w:val="20"/>
        </w:rPr>
        <w:t>Rekstur samstæðunnar í ferðatengdri þjónustu gengur vel og vex að umfangi samfara aukningu</w:t>
      </w:r>
      <w:r>
        <w:rPr>
          <w:rFonts w:cs="Arial"/>
          <w:szCs w:val="20"/>
        </w:rPr>
        <w:t xml:space="preserve"> í fjölda</w:t>
      </w:r>
      <w:r w:rsidRPr="001F276B">
        <w:rPr>
          <w:rFonts w:cs="Arial"/>
          <w:szCs w:val="20"/>
        </w:rPr>
        <w:t xml:space="preserve"> ferðamanna til Íslands og stækkun leiðakerfisins.</w:t>
      </w:r>
      <w:r>
        <w:rPr>
          <w:rFonts w:cs="Arial"/>
          <w:szCs w:val="20"/>
        </w:rPr>
        <w:t xml:space="preserve"> </w:t>
      </w:r>
      <w:r w:rsidR="004A566D">
        <w:rPr>
          <w:rFonts w:cs="Arial"/>
          <w:szCs w:val="20"/>
        </w:rPr>
        <w:t>Horfur í frakt- og lei</w:t>
      </w:r>
      <w:r w:rsidR="0089070B">
        <w:rPr>
          <w:rFonts w:cs="Arial"/>
          <w:szCs w:val="20"/>
        </w:rPr>
        <w:t>g</w:t>
      </w:r>
      <w:r w:rsidR="004A566D">
        <w:rPr>
          <w:rFonts w:cs="Arial"/>
          <w:szCs w:val="20"/>
        </w:rPr>
        <w:t>uflugsstarfsemi á næsta ári eru jafnframt góð.</w:t>
      </w:r>
      <w:r>
        <w:t xml:space="preserve"> </w:t>
      </w:r>
    </w:p>
    <w:p w:rsidR="00851946" w:rsidRDefault="00851946" w:rsidP="00851946">
      <w:r>
        <w:t xml:space="preserve">Samningur við </w:t>
      </w:r>
      <w:r w:rsidRPr="00B4541E">
        <w:t xml:space="preserve">Félag Íslenskra Atvinnuflugmanna (FÍA) </w:t>
      </w:r>
      <w:r>
        <w:t>r</w:t>
      </w:r>
      <w:r w:rsidR="00AF02D9">
        <w:t>a</w:t>
      </w:r>
      <w:r>
        <w:t xml:space="preserve">nn </w:t>
      </w:r>
      <w:proofErr w:type="spellStart"/>
      <w:r>
        <w:t>út</w:t>
      </w:r>
      <w:proofErr w:type="spellEnd"/>
      <w:r>
        <w:t xml:space="preserve"> í lok september og eru samningaviðræður milli aðila</w:t>
      </w:r>
      <w:r w:rsidRPr="00B4541E">
        <w:t xml:space="preserve"> </w:t>
      </w:r>
      <w:r>
        <w:t>hafnar</w:t>
      </w:r>
      <w:r w:rsidRPr="00B4541E">
        <w:t xml:space="preserve">. </w:t>
      </w:r>
    </w:p>
    <w:p w:rsidR="001B3726" w:rsidRDefault="001B3726" w:rsidP="001B3726">
      <w:r w:rsidRPr="003B6767">
        <w:lastRenderedPageBreak/>
        <w:t xml:space="preserve">Staða eldsneytisvarna félagsins í lok </w:t>
      </w:r>
      <w:r w:rsidR="00EB2A6D" w:rsidRPr="003B6767">
        <w:t>september</w:t>
      </w:r>
      <w:r w:rsidRPr="003B6767">
        <w:t xml:space="preserve"> er dregin fram í töflunni hér á eftir. Taflan sýnir að 4</w:t>
      </w:r>
      <w:r w:rsidR="00EB2A6D" w:rsidRPr="003B6767">
        <w:t>0</w:t>
      </w:r>
      <w:r w:rsidRPr="003B6767">
        <w:t xml:space="preserve">% af áætlaðri notkun á </w:t>
      </w:r>
      <w:r w:rsidR="00EB2A6D" w:rsidRPr="003B6767">
        <w:t>næstu 12 mánuðum (október 2014-október 2015)</w:t>
      </w:r>
      <w:r w:rsidRPr="003B6767">
        <w:t xml:space="preserve"> hefur verið varin með samningum. </w:t>
      </w:r>
    </w:p>
    <w:tbl>
      <w:tblPr>
        <w:tblW w:w="8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96"/>
        <w:gridCol w:w="719"/>
        <w:gridCol w:w="670"/>
        <w:gridCol w:w="848"/>
        <w:gridCol w:w="953"/>
        <w:gridCol w:w="615"/>
        <w:gridCol w:w="1226"/>
        <w:gridCol w:w="1079"/>
        <w:gridCol w:w="1028"/>
      </w:tblGrid>
      <w:tr w:rsidR="00300C0B" w:rsidRPr="00300C0B" w:rsidTr="00417B2A">
        <w:trPr>
          <w:trHeight w:val="567"/>
        </w:trPr>
        <w:tc>
          <w:tcPr>
            <w:tcW w:w="7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t>Mán.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4"/>
                <w:szCs w:val="14"/>
                <w:lang w:eastAsia="is-IS"/>
              </w:rPr>
              <w:t>Ár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  <w:t>Áætluð notkun (tonn)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  <w:t>Valréttir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</w:pPr>
            <w:proofErr w:type="spellStart"/>
            <w:r w:rsidRPr="00300C0B"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  <w:t>Skipta-samningar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vAlign w:val="bottom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  <w:t xml:space="preserve">Samtals valréttir og </w:t>
            </w:r>
            <w:proofErr w:type="spellStart"/>
            <w:r w:rsidRPr="00300C0B"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  <w:t>skiptasamn</w:t>
            </w:r>
            <w:proofErr w:type="spellEnd"/>
            <w:r w:rsidRPr="00300C0B"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  <w:t>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EBECEC"/>
            <w:vAlign w:val="bottom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  <w:t>Hlutfall varið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  <w:t>Meðalverð skiptasamninga USD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</w:pPr>
            <w:proofErr w:type="spellStart"/>
            <w:r w:rsidRPr="00300C0B"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  <w:t>Kaupréttar</w:t>
            </w:r>
            <w:r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  <w:t>-</w:t>
            </w:r>
            <w:r w:rsidRPr="00300C0B"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  <w:t>verð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</w:pPr>
            <w:proofErr w:type="spellStart"/>
            <w:r w:rsidRPr="00300C0B"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  <w:t>Söluréttar</w:t>
            </w:r>
            <w:r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  <w:t>-</w:t>
            </w:r>
            <w:r w:rsidRPr="00300C0B">
              <w:rPr>
                <w:rFonts w:eastAsia="Times New Roman" w:cs="Arial"/>
                <w:b/>
                <w:bCs/>
                <w:color w:val="5A5A5A"/>
                <w:sz w:val="14"/>
                <w:szCs w:val="14"/>
                <w:lang w:eastAsia="is-IS"/>
              </w:rPr>
              <w:t>verð</w:t>
            </w:r>
            <w:proofErr w:type="spellEnd"/>
          </w:p>
        </w:tc>
      </w:tr>
      <w:tr w:rsidR="00300C0B" w:rsidRPr="00300C0B" w:rsidTr="00417B2A">
        <w:trPr>
          <w:trHeight w:val="227"/>
        </w:trPr>
        <w:tc>
          <w:tcPr>
            <w:tcW w:w="760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proofErr w:type="spellStart"/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Okt</w:t>
            </w:r>
            <w:proofErr w:type="spellEnd"/>
          </w:p>
        </w:tc>
        <w:tc>
          <w:tcPr>
            <w:tcW w:w="496" w:type="dxa"/>
            <w:tcBorders>
              <w:top w:val="dotted" w:sz="4" w:space="0" w:color="7F7F7F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2014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20.839</w:t>
            </w:r>
          </w:p>
        </w:tc>
        <w:tc>
          <w:tcPr>
            <w:tcW w:w="67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6.000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4.200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10.200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49%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990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1.000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937</w:t>
            </w:r>
          </w:p>
        </w:tc>
      </w:tr>
      <w:tr w:rsidR="00300C0B" w:rsidRPr="00300C0B" w:rsidTr="00417B2A">
        <w:trPr>
          <w:trHeight w:val="227"/>
        </w:trPr>
        <w:tc>
          <w:tcPr>
            <w:tcW w:w="76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proofErr w:type="spellStart"/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Nóv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2014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17.639</w:t>
            </w:r>
          </w:p>
        </w:tc>
        <w:tc>
          <w:tcPr>
            <w:tcW w:w="67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3.000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5.200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8.200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46%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972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990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908</w:t>
            </w:r>
          </w:p>
        </w:tc>
      </w:tr>
      <w:tr w:rsidR="00300C0B" w:rsidRPr="00300C0B" w:rsidTr="00417B2A">
        <w:trPr>
          <w:trHeight w:val="227"/>
        </w:trPr>
        <w:tc>
          <w:tcPr>
            <w:tcW w:w="76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Des</w:t>
            </w:r>
          </w:p>
        </w:tc>
        <w:tc>
          <w:tcPr>
            <w:tcW w:w="49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2014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16.393</w:t>
            </w:r>
          </w:p>
        </w:tc>
        <w:tc>
          <w:tcPr>
            <w:tcW w:w="67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3.000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5.200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8.200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50%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964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1.000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932</w:t>
            </w:r>
          </w:p>
        </w:tc>
      </w:tr>
      <w:tr w:rsidR="00300C0B" w:rsidRPr="00300C0B" w:rsidTr="00417B2A">
        <w:trPr>
          <w:trHeight w:val="227"/>
        </w:trPr>
        <w:tc>
          <w:tcPr>
            <w:tcW w:w="76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Jan</w:t>
            </w:r>
          </w:p>
        </w:tc>
        <w:tc>
          <w:tcPr>
            <w:tcW w:w="49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2015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13.958</w:t>
            </w:r>
          </w:p>
        </w:tc>
        <w:tc>
          <w:tcPr>
            <w:tcW w:w="67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3.000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3.000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6.000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43%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947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1.000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929</w:t>
            </w:r>
          </w:p>
        </w:tc>
      </w:tr>
      <w:tr w:rsidR="00300C0B" w:rsidRPr="00300C0B" w:rsidTr="00417B2A">
        <w:trPr>
          <w:trHeight w:val="227"/>
        </w:trPr>
        <w:tc>
          <w:tcPr>
            <w:tcW w:w="76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proofErr w:type="spellStart"/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Feb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2015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12.029</w:t>
            </w:r>
          </w:p>
        </w:tc>
        <w:tc>
          <w:tcPr>
            <w:tcW w:w="67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4.000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2.000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6.000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50%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960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1.000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936</w:t>
            </w:r>
          </w:p>
        </w:tc>
      </w:tr>
      <w:tr w:rsidR="00300C0B" w:rsidRPr="00300C0B" w:rsidTr="00417B2A">
        <w:trPr>
          <w:trHeight w:val="227"/>
        </w:trPr>
        <w:tc>
          <w:tcPr>
            <w:tcW w:w="76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Mar</w:t>
            </w:r>
          </w:p>
        </w:tc>
        <w:tc>
          <w:tcPr>
            <w:tcW w:w="49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2015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16.147</w:t>
            </w:r>
          </w:p>
        </w:tc>
        <w:tc>
          <w:tcPr>
            <w:tcW w:w="67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3.000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5.000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8.000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50%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981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990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933</w:t>
            </w:r>
          </w:p>
        </w:tc>
      </w:tr>
      <w:tr w:rsidR="00300C0B" w:rsidRPr="00300C0B" w:rsidTr="00417B2A">
        <w:trPr>
          <w:trHeight w:val="227"/>
        </w:trPr>
        <w:tc>
          <w:tcPr>
            <w:tcW w:w="76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proofErr w:type="spellStart"/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Apr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2015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17.204</w:t>
            </w:r>
          </w:p>
        </w:tc>
        <w:tc>
          <w:tcPr>
            <w:tcW w:w="67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3.000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5.000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8.000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47%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967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1.000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892</w:t>
            </w:r>
          </w:p>
        </w:tc>
      </w:tr>
      <w:tr w:rsidR="00300C0B" w:rsidRPr="00300C0B" w:rsidTr="00417B2A">
        <w:trPr>
          <w:trHeight w:val="227"/>
        </w:trPr>
        <w:tc>
          <w:tcPr>
            <w:tcW w:w="76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Maí</w:t>
            </w:r>
          </w:p>
        </w:tc>
        <w:tc>
          <w:tcPr>
            <w:tcW w:w="49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2015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23.730</w:t>
            </w:r>
          </w:p>
        </w:tc>
        <w:tc>
          <w:tcPr>
            <w:tcW w:w="67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4.000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7.000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11.000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46%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936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1.000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932</w:t>
            </w:r>
          </w:p>
        </w:tc>
      </w:tr>
      <w:tr w:rsidR="00300C0B" w:rsidRPr="00300C0B" w:rsidTr="00417B2A">
        <w:trPr>
          <w:trHeight w:val="227"/>
        </w:trPr>
        <w:tc>
          <w:tcPr>
            <w:tcW w:w="76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proofErr w:type="spellStart"/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Jún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2015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32.016</w:t>
            </w:r>
          </w:p>
        </w:tc>
        <w:tc>
          <w:tcPr>
            <w:tcW w:w="67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6.000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7.000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13.000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41%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934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987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883</w:t>
            </w:r>
          </w:p>
        </w:tc>
      </w:tr>
      <w:tr w:rsidR="00300C0B" w:rsidRPr="00300C0B" w:rsidTr="00417B2A">
        <w:trPr>
          <w:trHeight w:val="227"/>
        </w:trPr>
        <w:tc>
          <w:tcPr>
            <w:tcW w:w="76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proofErr w:type="spellStart"/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Júl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2015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34.304</w:t>
            </w:r>
          </w:p>
        </w:tc>
        <w:tc>
          <w:tcPr>
            <w:tcW w:w="67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6.000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5.000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11.000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32%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915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987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871</w:t>
            </w:r>
          </w:p>
        </w:tc>
      </w:tr>
      <w:tr w:rsidR="00300C0B" w:rsidRPr="00300C0B" w:rsidTr="00417B2A">
        <w:trPr>
          <w:trHeight w:val="227"/>
        </w:trPr>
        <w:tc>
          <w:tcPr>
            <w:tcW w:w="76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proofErr w:type="spellStart"/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Ágú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2015</w:t>
            </w:r>
          </w:p>
        </w:tc>
        <w:tc>
          <w:tcPr>
            <w:tcW w:w="71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34.281</w:t>
            </w:r>
          </w:p>
        </w:tc>
        <w:tc>
          <w:tcPr>
            <w:tcW w:w="670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6.000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3.000</w:t>
            </w:r>
          </w:p>
        </w:tc>
        <w:tc>
          <w:tcPr>
            <w:tcW w:w="953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9.000</w:t>
            </w:r>
          </w:p>
        </w:tc>
        <w:tc>
          <w:tcPr>
            <w:tcW w:w="615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26%</w:t>
            </w:r>
          </w:p>
        </w:tc>
        <w:tc>
          <w:tcPr>
            <w:tcW w:w="1226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919</w:t>
            </w:r>
          </w:p>
        </w:tc>
        <w:tc>
          <w:tcPr>
            <w:tcW w:w="1079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987</w:t>
            </w:r>
          </w:p>
        </w:tc>
        <w:tc>
          <w:tcPr>
            <w:tcW w:w="1028" w:type="dxa"/>
            <w:tcBorders>
              <w:top w:val="nil"/>
              <w:left w:val="nil"/>
              <w:bottom w:val="dotted" w:sz="4" w:space="0" w:color="7F7F7F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871</w:t>
            </w:r>
          </w:p>
        </w:tc>
      </w:tr>
      <w:tr w:rsidR="00300C0B" w:rsidRPr="00300C0B" w:rsidTr="00417B2A">
        <w:trPr>
          <w:trHeight w:val="22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proofErr w:type="spellStart"/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Sep</w:t>
            </w:r>
            <w:proofErr w:type="spell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2015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26.087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4.000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2.000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6.000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23%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919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990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886</w:t>
            </w:r>
          </w:p>
        </w:tc>
      </w:tr>
      <w:tr w:rsidR="00300C0B" w:rsidRPr="00300C0B" w:rsidTr="00417B2A">
        <w:trPr>
          <w:trHeight w:val="227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Samtals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b/>
                <w:bCs/>
                <w:color w:val="595959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264.627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51.000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53.600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104.600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ECEC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40%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C0B" w:rsidRPr="00300C0B" w:rsidRDefault="00300C0B" w:rsidP="00300C0B">
            <w:pPr>
              <w:spacing w:after="0" w:line="240" w:lineRule="auto"/>
              <w:jc w:val="right"/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</w:pPr>
            <w:r w:rsidRPr="00300C0B">
              <w:rPr>
                <w:rFonts w:eastAsia="Times New Roman" w:cs="Arial"/>
                <w:color w:val="5A5A5A"/>
                <w:sz w:val="16"/>
                <w:szCs w:val="16"/>
                <w:lang w:eastAsia="is-IS"/>
              </w:rPr>
              <w:t>-</w:t>
            </w:r>
          </w:p>
        </w:tc>
      </w:tr>
    </w:tbl>
    <w:p w:rsidR="001B3726" w:rsidRPr="00234F22" w:rsidRDefault="001B3726" w:rsidP="001B3726">
      <w:pPr>
        <w:rPr>
          <w:sz w:val="16"/>
          <w:szCs w:val="16"/>
        </w:rPr>
      </w:pPr>
      <w:r w:rsidRPr="003B6767">
        <w:rPr>
          <w:sz w:val="16"/>
          <w:szCs w:val="16"/>
        </w:rPr>
        <w:t xml:space="preserve">* </w:t>
      </w:r>
      <w:r w:rsidR="0078747C" w:rsidRPr="003B6767">
        <w:rPr>
          <w:sz w:val="16"/>
          <w:szCs w:val="16"/>
        </w:rPr>
        <w:t>Verð eru í USD</w:t>
      </w:r>
    </w:p>
    <w:p w:rsidR="00425E45" w:rsidRPr="000C6A44" w:rsidRDefault="00B64017" w:rsidP="00425E45">
      <w:pPr>
        <w:pStyle w:val="NoSpacing"/>
      </w:pPr>
      <w:r w:rsidRPr="000C6A44">
        <w:t>EBITDA spá 2014</w:t>
      </w:r>
    </w:p>
    <w:p w:rsidR="00035FC0" w:rsidRDefault="00035FC0" w:rsidP="00035FC0">
      <w:r w:rsidRPr="000C6A44">
        <w:t xml:space="preserve">Núverandi rekstrarforsendur gera ráð fyrir að EBITDA ársins </w:t>
      </w:r>
      <w:r w:rsidR="00051D7D">
        <w:t>verði</w:t>
      </w:r>
      <w:r w:rsidRPr="000C6A44">
        <w:t xml:space="preserve"> á bilinu </w:t>
      </w:r>
      <w:r>
        <w:t>150-155</w:t>
      </w:r>
      <w:r w:rsidRPr="000C6A44">
        <w:t xml:space="preserve"> milljónir USD. Afkomuspáin gerir ráð fyrir að gengi EUR gagnvart USD verði að meðaltali 1,25 á 4. ársfjórðungi og eldsneytisverð verði 903 USD/tonn í október og 900 USD/tonn </w:t>
      </w:r>
      <w:r>
        <w:t xml:space="preserve">að meðaltali </w:t>
      </w:r>
      <w:r w:rsidRPr="000C6A44">
        <w:t>í nóvember og desember.</w:t>
      </w:r>
      <w:r>
        <w:t xml:space="preserve">  Þannig gerir félagið ráð fyrir að afkoma fjórða ársfjórðungs verði lakari en á árinu 2013 og að EBITDA verði neikvæð en hún var jákvæð um 6,8 milljónir á árinu 2013. </w:t>
      </w:r>
      <w:r w:rsidR="00E6559E">
        <w:t>Mikil</w:t>
      </w:r>
      <w:r w:rsidR="0093159B">
        <w:t xml:space="preserve"> samkeppni, kostnaðarhækkanir ásamt fjárfestingu í </w:t>
      </w:r>
      <w:r w:rsidR="00C32D59">
        <w:t xml:space="preserve">auknu framboði </w:t>
      </w:r>
      <w:proofErr w:type="spellStart"/>
      <w:r w:rsidR="00C32D59">
        <w:t>skýra</w:t>
      </w:r>
      <w:proofErr w:type="spellEnd"/>
      <w:r w:rsidR="00C32D59">
        <w:t xml:space="preserve"> </w:t>
      </w:r>
      <w:r w:rsidR="00051D7D">
        <w:t xml:space="preserve">lækkun </w:t>
      </w:r>
      <w:r w:rsidR="00C32D59">
        <w:t>milli ára</w:t>
      </w:r>
      <w:r>
        <w:t xml:space="preserve">. </w:t>
      </w:r>
      <w:r w:rsidR="004A566D">
        <w:t xml:space="preserve">Jafnframt er útlit fyrir að afkoma í leiguflugi og </w:t>
      </w:r>
      <w:proofErr w:type="spellStart"/>
      <w:r w:rsidR="004A566D">
        <w:t>fraktflutningum</w:t>
      </w:r>
      <w:proofErr w:type="spellEnd"/>
      <w:r w:rsidR="004A566D">
        <w:t xml:space="preserve"> verði ekki jafngóð og á síðasta ári.</w:t>
      </w:r>
    </w:p>
    <w:p w:rsidR="001B3726" w:rsidRPr="00374724" w:rsidRDefault="001B3726" w:rsidP="00C26728">
      <w:pPr>
        <w:pStyle w:val="NoSpacing"/>
      </w:pPr>
      <w:r w:rsidRPr="00374724">
        <w:t>HLUTHAFAR</w:t>
      </w:r>
    </w:p>
    <w:p w:rsidR="001B3726" w:rsidRPr="00374724" w:rsidRDefault="001B3726" w:rsidP="001B0C29">
      <w:pPr>
        <w:pStyle w:val="Heading2"/>
      </w:pPr>
      <w:r w:rsidRPr="00374724">
        <w:t>Hlutabréfaverð Ic</w:t>
      </w:r>
      <w:r w:rsidR="00AD1A40" w:rsidRPr="00374724">
        <w:t xml:space="preserve">elandair Group hefur </w:t>
      </w:r>
      <w:r w:rsidR="00D43E25" w:rsidRPr="00374724">
        <w:t>l</w:t>
      </w:r>
      <w:r w:rsidR="00AD1A40" w:rsidRPr="00374724">
        <w:t xml:space="preserve">ækkað um </w:t>
      </w:r>
      <w:r w:rsidR="00DC0AD3" w:rsidRPr="00374724">
        <w:t>4</w:t>
      </w:r>
      <w:r w:rsidR="002F5703" w:rsidRPr="00374724">
        <w:t>,</w:t>
      </w:r>
      <w:r w:rsidR="00DC0AD3" w:rsidRPr="00374724">
        <w:t>7</w:t>
      </w:r>
      <w:r w:rsidRPr="00374724">
        <w:t>% frá áramótum.</w:t>
      </w:r>
    </w:p>
    <w:p w:rsidR="00427631" w:rsidRPr="00374724" w:rsidRDefault="00427631" w:rsidP="00427631">
      <w:pPr>
        <w:pStyle w:val="Heading2"/>
      </w:pPr>
      <w:r w:rsidRPr="00374724">
        <w:t>H</w:t>
      </w:r>
      <w:r w:rsidR="00DC0AD3" w:rsidRPr="00374724">
        <w:t>lutabréfaverð Icelandair Group h</w:t>
      </w:r>
      <w:r w:rsidR="00324358" w:rsidRPr="00374724">
        <w:t xml:space="preserve">ækkaði um </w:t>
      </w:r>
      <w:r w:rsidR="00DC0AD3" w:rsidRPr="00374724">
        <w:t>1</w:t>
      </w:r>
      <w:r w:rsidR="00324358" w:rsidRPr="00374724">
        <w:t>,5</w:t>
      </w:r>
      <w:r w:rsidRPr="00374724">
        <w:t xml:space="preserve">% á </w:t>
      </w:r>
      <w:r w:rsidR="00DC0AD3" w:rsidRPr="00374724">
        <w:t>þriðja</w:t>
      </w:r>
      <w:r w:rsidRPr="00374724">
        <w:t xml:space="preserve"> ársfjórðungi.</w:t>
      </w:r>
    </w:p>
    <w:p w:rsidR="001B3726" w:rsidRPr="00374724" w:rsidRDefault="008102F5" w:rsidP="001B0C29">
      <w:pPr>
        <w:pStyle w:val="Heading2"/>
      </w:pPr>
      <w:r w:rsidRPr="00374724">
        <w:t xml:space="preserve">Markaðsvirði í lok </w:t>
      </w:r>
      <w:r w:rsidR="00DC0AD3" w:rsidRPr="00374724">
        <w:t>september</w:t>
      </w:r>
      <w:r w:rsidR="00AD1A40" w:rsidRPr="00374724">
        <w:t xml:space="preserve"> var </w:t>
      </w:r>
      <w:r w:rsidR="00324358" w:rsidRPr="00374724">
        <w:t>8</w:t>
      </w:r>
      <w:r w:rsidR="00DC0AD3" w:rsidRPr="00374724">
        <w:t>6.750</w:t>
      </w:r>
      <w:r w:rsidR="001B3726" w:rsidRPr="00374724">
        <w:t xml:space="preserve"> mill</w:t>
      </w:r>
      <w:r w:rsidR="00DC0AD3" w:rsidRPr="00374724">
        <w:t>jónir</w:t>
      </w:r>
      <w:r w:rsidR="001B3726" w:rsidRPr="00374724">
        <w:t xml:space="preserve"> íslenskra </w:t>
      </w:r>
      <w:proofErr w:type="spellStart"/>
      <w:r w:rsidR="001B3726" w:rsidRPr="00374724">
        <w:t>króna</w:t>
      </w:r>
      <w:proofErr w:type="spellEnd"/>
      <w:r w:rsidR="001B3726" w:rsidRPr="00374724">
        <w:t>.</w:t>
      </w:r>
    </w:p>
    <w:p w:rsidR="00475EAA" w:rsidRPr="00374724" w:rsidRDefault="00324358" w:rsidP="00706BA2">
      <w:pPr>
        <w:spacing w:before="240"/>
        <w:rPr>
          <w:b/>
        </w:rPr>
      </w:pPr>
      <w:r w:rsidRPr="00374724">
        <w:t xml:space="preserve">Markaðsvirði félagsins nam </w:t>
      </w:r>
      <w:r w:rsidR="00DC0AD3" w:rsidRPr="00374724">
        <w:t>tæpum 86,8</w:t>
      </w:r>
      <w:r w:rsidR="00AD1A40" w:rsidRPr="00374724">
        <w:t xml:space="preserve"> milljörðum </w:t>
      </w:r>
      <w:proofErr w:type="spellStart"/>
      <w:r w:rsidR="00AD1A40" w:rsidRPr="00374724">
        <w:t>króna</w:t>
      </w:r>
      <w:proofErr w:type="spellEnd"/>
      <w:r w:rsidR="00AD1A40" w:rsidRPr="00374724">
        <w:t xml:space="preserve"> í lok </w:t>
      </w:r>
      <w:r w:rsidR="00DC0AD3" w:rsidRPr="00374724">
        <w:t>þriðja</w:t>
      </w:r>
      <w:r w:rsidRPr="00374724">
        <w:t xml:space="preserve"> ársfjórðungs 2014</w:t>
      </w:r>
      <w:r w:rsidR="001B3726" w:rsidRPr="00374724">
        <w:t>. Lokaverð fjórðungsins var 1</w:t>
      </w:r>
      <w:r w:rsidRPr="00374724">
        <w:t>7</w:t>
      </w:r>
      <w:r w:rsidR="001B3726" w:rsidRPr="00374724">
        <w:t>,</w:t>
      </w:r>
      <w:r w:rsidR="00DC0AD3" w:rsidRPr="00374724">
        <w:t>35</w:t>
      </w:r>
      <w:r w:rsidR="001B3726" w:rsidRPr="00374724">
        <w:t xml:space="preserve"> krónur á hvern hlut. </w:t>
      </w:r>
      <w:proofErr w:type="spellStart"/>
      <w:r w:rsidR="001B3726" w:rsidRPr="00374724">
        <w:t>Hæsta</w:t>
      </w:r>
      <w:proofErr w:type="spellEnd"/>
      <w:r w:rsidR="001B3726" w:rsidRPr="00374724">
        <w:t xml:space="preserve"> dagslokaverð á hvern hlut </w:t>
      </w:r>
      <w:r w:rsidR="00427631" w:rsidRPr="00374724">
        <w:t>í fjórðungnum</w:t>
      </w:r>
      <w:r w:rsidR="001B3726" w:rsidRPr="00374724">
        <w:t xml:space="preserve"> var 1</w:t>
      </w:r>
      <w:r w:rsidRPr="00374724">
        <w:t>8</w:t>
      </w:r>
      <w:r w:rsidR="001B3726" w:rsidRPr="00374724">
        <w:t>,</w:t>
      </w:r>
      <w:r w:rsidR="00DC0AD3" w:rsidRPr="00374724">
        <w:t>8</w:t>
      </w:r>
      <w:r w:rsidRPr="00374724">
        <w:t>5</w:t>
      </w:r>
      <w:r w:rsidR="001B3726" w:rsidRPr="00374724">
        <w:t xml:space="preserve"> krónur, lægsta dagslokaverð á hvern hlut var </w:t>
      </w:r>
      <w:r w:rsidR="00DC0AD3" w:rsidRPr="00374724">
        <w:t>16</w:t>
      </w:r>
      <w:r w:rsidR="001B3726" w:rsidRPr="00374724">
        <w:t>,</w:t>
      </w:r>
      <w:r w:rsidR="00DC0AD3" w:rsidRPr="00374724">
        <w:t>85</w:t>
      </w:r>
      <w:r w:rsidR="001B3726" w:rsidRPr="00374724">
        <w:t xml:space="preserve"> krónur og meðaltals dagslokaverð á tímabilinu var 1</w:t>
      </w:r>
      <w:r w:rsidRPr="00374724">
        <w:t>7</w:t>
      </w:r>
      <w:r w:rsidR="001B3726" w:rsidRPr="00374724">
        <w:t>,</w:t>
      </w:r>
      <w:r w:rsidR="00DC0AD3" w:rsidRPr="00374724">
        <w:t>66</w:t>
      </w:r>
      <w:r w:rsidR="001B3726" w:rsidRPr="00374724">
        <w:t xml:space="preserve"> krónur á hvern hlut. Fjöldi </w:t>
      </w:r>
      <w:proofErr w:type="spellStart"/>
      <w:r w:rsidR="001B3726" w:rsidRPr="00374724">
        <w:t>útgefinna</w:t>
      </w:r>
      <w:proofErr w:type="spellEnd"/>
      <w:r w:rsidR="001B3726" w:rsidRPr="00374724">
        <w:t xml:space="preserve"> hlutabréfa þann 3</w:t>
      </w:r>
      <w:r w:rsidR="00AD1A40" w:rsidRPr="00374724">
        <w:t>0</w:t>
      </w:r>
      <w:r w:rsidR="001B3726" w:rsidRPr="00374724">
        <w:t xml:space="preserve">. </w:t>
      </w:r>
      <w:r w:rsidR="00DC0AD3" w:rsidRPr="00374724">
        <w:t>september</w:t>
      </w:r>
      <w:r w:rsidRPr="00374724">
        <w:t xml:space="preserve"> 2014</w:t>
      </w:r>
      <w:r w:rsidR="001B3726" w:rsidRPr="00374724">
        <w:t xml:space="preserve"> var 5.000.000.000 og fjöldi útistandandi bréfa á sama tíma var 4.974.540.000. Hlutabréfaverð félagsins </w:t>
      </w:r>
      <w:r w:rsidRPr="00374724">
        <w:t>l</w:t>
      </w:r>
      <w:r w:rsidR="001B3726" w:rsidRPr="00374724">
        <w:t xml:space="preserve">ækkaði um </w:t>
      </w:r>
      <w:r w:rsidR="00DC0AD3" w:rsidRPr="00374724">
        <w:t>4,7</w:t>
      </w:r>
      <w:r w:rsidR="001B3726" w:rsidRPr="00374724">
        <w:t>% á fyrst</w:t>
      </w:r>
      <w:r w:rsidR="00AD1A40" w:rsidRPr="00374724">
        <w:t xml:space="preserve">u </w:t>
      </w:r>
      <w:r w:rsidR="00DC0AD3" w:rsidRPr="00374724">
        <w:t>níu</w:t>
      </w:r>
      <w:r w:rsidR="00AD1A40" w:rsidRPr="00374724">
        <w:t xml:space="preserve"> mánuðum ársins</w:t>
      </w:r>
      <w:r w:rsidRPr="00374724">
        <w:t xml:space="preserve"> 2014</w:t>
      </w:r>
      <w:r w:rsidR="001B3726" w:rsidRPr="00374724">
        <w:t xml:space="preserve"> og fjöldi hluthafa var </w:t>
      </w:r>
      <w:r w:rsidR="00DC0AD3" w:rsidRPr="00374724">
        <w:t>2.142</w:t>
      </w:r>
      <w:r w:rsidR="001B3726" w:rsidRPr="00374724">
        <w:t xml:space="preserve"> í lok </w:t>
      </w:r>
      <w:r w:rsidR="00DC0AD3" w:rsidRPr="00374724">
        <w:t>september</w:t>
      </w:r>
      <w:r w:rsidR="001B3726" w:rsidRPr="00374724">
        <w:t xml:space="preserve"> og fjölgaði um </w:t>
      </w:r>
      <w:r w:rsidR="00DC0AD3" w:rsidRPr="00374724">
        <w:t>309</w:t>
      </w:r>
      <w:r w:rsidR="001B3726" w:rsidRPr="00374724">
        <w:t xml:space="preserve"> frá upphafi árs. </w:t>
      </w:r>
    </w:p>
    <w:p w:rsidR="00AB3619" w:rsidRDefault="00AB3619" w:rsidP="001B3726">
      <w:pPr>
        <w:rPr>
          <w:b/>
        </w:rPr>
      </w:pPr>
    </w:p>
    <w:p w:rsidR="00FE774F" w:rsidRDefault="00FE774F" w:rsidP="001B3726">
      <w:pPr>
        <w:rPr>
          <w:b/>
        </w:rPr>
      </w:pPr>
    </w:p>
    <w:p w:rsidR="00AB3619" w:rsidRDefault="00AB3619" w:rsidP="001B3726">
      <w:pPr>
        <w:rPr>
          <w:b/>
        </w:rPr>
      </w:pPr>
    </w:p>
    <w:p w:rsidR="001B3726" w:rsidRPr="00374724" w:rsidRDefault="001B3726" w:rsidP="001B3726">
      <w:pPr>
        <w:rPr>
          <w:b/>
        </w:rPr>
      </w:pPr>
      <w:r w:rsidRPr="00374724">
        <w:rPr>
          <w:b/>
        </w:rPr>
        <w:lastRenderedPageBreak/>
        <w:t xml:space="preserve">Hlutabréfaverð og velta - þróun á </w:t>
      </w:r>
      <w:r w:rsidR="007E727D" w:rsidRPr="00374724">
        <w:rPr>
          <w:b/>
        </w:rPr>
        <w:t xml:space="preserve">fyrstu </w:t>
      </w:r>
      <w:r w:rsidR="00DC0AD3" w:rsidRPr="00374724">
        <w:rPr>
          <w:b/>
        </w:rPr>
        <w:t>9</w:t>
      </w:r>
      <w:r w:rsidR="007E727D" w:rsidRPr="00374724">
        <w:rPr>
          <w:b/>
        </w:rPr>
        <w:t xml:space="preserve"> mánuðum ársins</w:t>
      </w:r>
      <w:r w:rsidRPr="00374724">
        <w:rPr>
          <w:b/>
        </w:rPr>
        <w:t xml:space="preserve"> 201</w:t>
      </w:r>
      <w:r w:rsidR="00324358" w:rsidRPr="00374724">
        <w:rPr>
          <w:b/>
        </w:rPr>
        <w:t>4</w:t>
      </w:r>
      <w:r w:rsidRPr="00374724">
        <w:rPr>
          <w:b/>
        </w:rPr>
        <w:t>:</w:t>
      </w:r>
    </w:p>
    <w:p w:rsidR="00DC0AD3" w:rsidRPr="00374724" w:rsidRDefault="00DC0AD3" w:rsidP="00670B19">
      <w:r w:rsidRPr="00374724">
        <w:rPr>
          <w:noProof/>
          <w:lang w:eastAsia="is-IS"/>
        </w:rPr>
        <w:drawing>
          <wp:inline distT="0" distB="0" distL="0" distR="0" wp14:anchorId="37853471" wp14:editId="0C3992AB">
            <wp:extent cx="5761355" cy="1615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726" w:rsidRPr="00374724" w:rsidRDefault="001B3726" w:rsidP="00197D62">
      <w:pPr>
        <w:pStyle w:val="NoSpacing"/>
      </w:pPr>
      <w:r w:rsidRPr="00374724">
        <w:t xml:space="preserve">KYNNINGARFUNDUR </w:t>
      </w:r>
      <w:r w:rsidR="002F5703" w:rsidRPr="00374724">
        <w:t>3</w:t>
      </w:r>
      <w:r w:rsidR="000F0B3A" w:rsidRPr="00374724">
        <w:t>1</w:t>
      </w:r>
      <w:r w:rsidRPr="00374724">
        <w:t xml:space="preserve">. </w:t>
      </w:r>
      <w:r w:rsidR="00DC0AD3" w:rsidRPr="00374724">
        <w:t>október</w:t>
      </w:r>
      <w:r w:rsidR="00714DD9" w:rsidRPr="00374724">
        <w:t xml:space="preserve"> 2014</w:t>
      </w:r>
    </w:p>
    <w:p w:rsidR="001B3726" w:rsidRPr="00374724" w:rsidRDefault="001B3726" w:rsidP="009133BD">
      <w:r w:rsidRPr="00374724">
        <w:t>Opinn kynninga</w:t>
      </w:r>
      <w:r w:rsidR="003C4F2D" w:rsidRPr="00374724">
        <w:t>r</w:t>
      </w:r>
      <w:r w:rsidRPr="00374724">
        <w:t>fundur fyrir markaðsaðila og hluthafa verður haldinn f</w:t>
      </w:r>
      <w:r w:rsidR="00DC0AD3" w:rsidRPr="00374724">
        <w:t>östudaginn</w:t>
      </w:r>
      <w:r w:rsidRPr="00374724">
        <w:t xml:space="preserve"> </w:t>
      </w:r>
      <w:r w:rsidR="002F5703" w:rsidRPr="00374724">
        <w:t>3</w:t>
      </w:r>
      <w:r w:rsidR="000F0B3A" w:rsidRPr="00374724">
        <w:t>1</w:t>
      </w:r>
      <w:r w:rsidRPr="00374724">
        <w:t xml:space="preserve">. </w:t>
      </w:r>
      <w:r w:rsidR="00DC0AD3" w:rsidRPr="00374724">
        <w:t>október</w:t>
      </w:r>
      <w:r w:rsidRPr="00374724">
        <w:t xml:space="preserve"> 201</w:t>
      </w:r>
      <w:r w:rsidR="00714DD9" w:rsidRPr="00374724">
        <w:t>4</w:t>
      </w:r>
      <w:r w:rsidRPr="00374724">
        <w:t xml:space="preserve"> á Icelandair Hótel Reykjavík </w:t>
      </w:r>
      <w:proofErr w:type="spellStart"/>
      <w:r w:rsidRPr="00374724">
        <w:t>Natura</w:t>
      </w:r>
      <w:proofErr w:type="spellEnd"/>
      <w:r w:rsidRPr="00374724">
        <w:t xml:space="preserve">. Björgólfur Jóhannsson, forstjóri Icelandair Group, og Bogi Nils </w:t>
      </w:r>
      <w:bookmarkStart w:id="0" w:name="_GoBack"/>
      <w:r w:rsidRPr="00374724">
        <w:t>Bogason, framkvæmdastjóri fjármála, munu kynna afkomuna og svara spurningum</w:t>
      </w:r>
      <w:r w:rsidR="00252A57" w:rsidRPr="00374724">
        <w:t>.</w:t>
      </w:r>
      <w:r w:rsidRPr="00374724">
        <w:t xml:space="preserve"> Kynningin hefst kl. </w:t>
      </w:r>
      <w:bookmarkEnd w:id="0"/>
      <w:r w:rsidRPr="00374724">
        <w:t>08:30</w:t>
      </w:r>
      <w:r w:rsidR="00F632F1" w:rsidRPr="00374724">
        <w:t xml:space="preserve"> og verður í </w:t>
      </w:r>
      <w:r w:rsidR="00DC0AD3" w:rsidRPr="00374724">
        <w:t>Víkingasal</w:t>
      </w:r>
      <w:r w:rsidR="00F632F1" w:rsidRPr="00374724">
        <w:t xml:space="preserve"> </w:t>
      </w:r>
      <w:r w:rsidR="00DC0AD3" w:rsidRPr="00374724">
        <w:t>4+5</w:t>
      </w:r>
      <w:r w:rsidRPr="00374724">
        <w:t xml:space="preserve">. </w:t>
      </w:r>
      <w:r w:rsidR="00DC0AD3" w:rsidRPr="00374724">
        <w:t xml:space="preserve">Morgunverður verður í boði frá kl. 8:00. </w:t>
      </w:r>
      <w:r w:rsidRPr="00374724">
        <w:t xml:space="preserve">Kynningarefni vegna fundarins verður hægt að nálgast að honum loknum á heimasíðu Icelandair </w:t>
      </w:r>
      <w:proofErr w:type="spellStart"/>
      <w:r w:rsidRPr="00374724">
        <w:t>Group</w:t>
      </w:r>
      <w:proofErr w:type="spellEnd"/>
      <w:r w:rsidRPr="00374724">
        <w:t xml:space="preserve">: </w:t>
      </w:r>
      <w:proofErr w:type="spellStart"/>
      <w:r w:rsidRPr="0073194A">
        <w:rPr>
          <w:rStyle w:val="Hyperlink"/>
        </w:rPr>
        <w:t>www.icelandairgroup.is</w:t>
      </w:r>
      <w:proofErr w:type="spellEnd"/>
      <w:r w:rsidRPr="00374724">
        <w:t xml:space="preserve"> og í fréttakerfi </w:t>
      </w:r>
      <w:proofErr w:type="spellStart"/>
      <w:r w:rsidRPr="00374724">
        <w:t>Nasdaq</w:t>
      </w:r>
      <w:proofErr w:type="spellEnd"/>
      <w:r w:rsidRPr="00374724">
        <w:t xml:space="preserve"> OMX </w:t>
      </w:r>
      <w:proofErr w:type="spellStart"/>
      <w:r w:rsidRPr="00374724">
        <w:t>Iceland</w:t>
      </w:r>
      <w:proofErr w:type="spellEnd"/>
      <w:r w:rsidRPr="00374724">
        <w:t xml:space="preserve"> hf.</w:t>
      </w:r>
      <w:r w:rsidR="009133BD" w:rsidRPr="009133BD">
        <w:t xml:space="preserve"> </w:t>
      </w:r>
      <w:r w:rsidR="009133BD">
        <w:t xml:space="preserve">Hægt verður að fylgjast með fundinum beint á vefslóðinni: </w:t>
      </w:r>
      <w:hyperlink r:id="rId10" w:history="1">
        <w:r w:rsidR="009133BD">
          <w:rPr>
            <w:rStyle w:val="Hyperlink"/>
          </w:rPr>
          <w:t>http://www.icelandairgroup.is/investors/reports-and-presentations/webcast/</w:t>
        </w:r>
      </w:hyperlink>
    </w:p>
    <w:p w:rsidR="001B3726" w:rsidRPr="00374724" w:rsidRDefault="001B3726" w:rsidP="00197D62">
      <w:pPr>
        <w:pStyle w:val="NoSpacing"/>
      </w:pPr>
      <w:r w:rsidRPr="00374724">
        <w:t>SAMÞYKKT</w:t>
      </w:r>
      <w:r w:rsidR="0023057F" w:rsidRPr="00374724">
        <w:t xml:space="preserve"> </w:t>
      </w:r>
      <w:r w:rsidRPr="00374724">
        <w:t xml:space="preserve"> ÁRSHLUTAREIKNINGS</w:t>
      </w:r>
    </w:p>
    <w:p w:rsidR="00DB551D" w:rsidRPr="00374724" w:rsidRDefault="00DB551D" w:rsidP="00DB551D">
      <w:r w:rsidRPr="00374724">
        <w:t xml:space="preserve">Samstæðureikningur Icelandair Group vegna uppgjörs </w:t>
      </w:r>
      <w:r w:rsidR="00DC0AD3" w:rsidRPr="00374724">
        <w:t>þriðja</w:t>
      </w:r>
      <w:r w:rsidRPr="00374724">
        <w:t xml:space="preserve"> ársfjórðungs 201</w:t>
      </w:r>
      <w:r w:rsidR="00714DD9" w:rsidRPr="00374724">
        <w:t>4</w:t>
      </w:r>
      <w:r w:rsidRPr="00374724">
        <w:t xml:space="preserve"> var samþykktur á stjórnarfundi þann 3</w:t>
      </w:r>
      <w:r w:rsidR="00DC0AD3" w:rsidRPr="00374724">
        <w:t>0</w:t>
      </w:r>
      <w:r w:rsidRPr="00374724">
        <w:t xml:space="preserve">. </w:t>
      </w:r>
      <w:r w:rsidR="00694A06" w:rsidRPr="00374724">
        <w:t>október</w:t>
      </w:r>
      <w:r w:rsidRPr="00374724">
        <w:t xml:space="preserve"> 201</w:t>
      </w:r>
      <w:r w:rsidR="00714DD9" w:rsidRPr="00374724">
        <w:t>4</w:t>
      </w:r>
      <w:r w:rsidR="00CF443B" w:rsidRPr="00374724">
        <w:t>.</w:t>
      </w:r>
      <w:r w:rsidRPr="00374724">
        <w:t xml:space="preserve"> </w:t>
      </w:r>
    </w:p>
    <w:p w:rsidR="001B3726" w:rsidRPr="00374724" w:rsidRDefault="001B3726" w:rsidP="00017C2E">
      <w:pPr>
        <w:pStyle w:val="NoSpacing"/>
      </w:pPr>
      <w:r w:rsidRPr="00374724">
        <w:t>FJÁRHAGSDAGATAL</w:t>
      </w:r>
    </w:p>
    <w:p w:rsidR="00DC0AD3" w:rsidRPr="00374724" w:rsidRDefault="00694A06" w:rsidP="00DC0AD3">
      <w:pPr>
        <w:pStyle w:val="Heading2"/>
        <w:spacing w:after="360"/>
        <w:ind w:left="357" w:hanging="357"/>
      </w:pPr>
      <w:r w:rsidRPr="00374724">
        <w:t xml:space="preserve">Uppgjör 4. ársfjórðungs 2014: </w:t>
      </w:r>
      <w:r w:rsidR="00714DD9" w:rsidRPr="00374724">
        <w:t>05.02 2015</w:t>
      </w:r>
    </w:p>
    <w:p w:rsidR="001B3726" w:rsidRPr="00374724" w:rsidRDefault="001B3726" w:rsidP="00197D62">
      <w:pPr>
        <w:pStyle w:val="NoSpacing"/>
      </w:pPr>
      <w:r w:rsidRPr="00374724">
        <w:t>FREKARI UPPLÝSINGAR VEITA</w:t>
      </w:r>
    </w:p>
    <w:p w:rsidR="001B3726" w:rsidRPr="00374724" w:rsidRDefault="001B3726" w:rsidP="001B0C29">
      <w:pPr>
        <w:pStyle w:val="Heading2"/>
      </w:pPr>
      <w:r w:rsidRPr="00374724">
        <w:t>Björgólfur Jóhannsson, forstjóri Icelandair Group, sími: 896-1455</w:t>
      </w:r>
    </w:p>
    <w:p w:rsidR="001B3726" w:rsidRPr="00374724" w:rsidRDefault="001B3726" w:rsidP="001B0C29">
      <w:pPr>
        <w:pStyle w:val="Heading2"/>
      </w:pPr>
      <w:r w:rsidRPr="00374724">
        <w:t>Bogi Nils Bogason, framkvæmdastjóri fjármála Icelandair Group, sími: 665-8801</w:t>
      </w:r>
    </w:p>
    <w:p w:rsidR="00905AFD" w:rsidRDefault="00905AFD"/>
    <w:sectPr w:rsidR="00905A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FC" w:rsidRDefault="00DE4CFC" w:rsidP="004736EF">
      <w:pPr>
        <w:spacing w:after="0" w:line="240" w:lineRule="auto"/>
      </w:pPr>
      <w:r>
        <w:separator/>
      </w:r>
    </w:p>
  </w:endnote>
  <w:endnote w:type="continuationSeparator" w:id="0">
    <w:p w:rsidR="00DE4CFC" w:rsidRDefault="00DE4CFC" w:rsidP="00473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406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9CB" w:rsidRDefault="009279C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94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279CB" w:rsidRDefault="00927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FC" w:rsidRDefault="00DE4CFC" w:rsidP="004736EF">
      <w:pPr>
        <w:spacing w:after="0" w:line="240" w:lineRule="auto"/>
      </w:pPr>
      <w:r>
        <w:separator/>
      </w:r>
    </w:p>
  </w:footnote>
  <w:footnote w:type="continuationSeparator" w:id="0">
    <w:p w:rsidR="00DE4CFC" w:rsidRDefault="00DE4CFC" w:rsidP="00473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CB" w:rsidRDefault="009279C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07"/>
      <w:gridCol w:w="3181"/>
    </w:tblGrid>
    <w:tr w:rsidR="009279CB" w:rsidTr="006B67FE">
      <w:tc>
        <w:tcPr>
          <w:tcW w:w="6345" w:type="dxa"/>
        </w:tcPr>
        <w:p w:rsidR="009279CB" w:rsidRPr="001B4763" w:rsidRDefault="009279CB" w:rsidP="00EB2A6D">
          <w:pPr>
            <w:pStyle w:val="Header"/>
            <w:rPr>
              <w:rFonts w:cs="Arial"/>
              <w:sz w:val="18"/>
              <w:szCs w:val="18"/>
              <w:lang w:val="is-IS"/>
            </w:rPr>
          </w:pPr>
          <w:r>
            <w:rPr>
              <w:rFonts w:cs="Arial"/>
              <w:sz w:val="18"/>
              <w:szCs w:val="18"/>
              <w:lang w:val="is-IS"/>
            </w:rPr>
            <w:t>30</w:t>
          </w:r>
          <w:r w:rsidRPr="001B4763">
            <w:rPr>
              <w:rFonts w:cs="Arial"/>
              <w:sz w:val="18"/>
              <w:szCs w:val="18"/>
              <w:lang w:val="is-IS"/>
            </w:rPr>
            <w:t xml:space="preserve">. </w:t>
          </w:r>
          <w:r>
            <w:rPr>
              <w:rFonts w:cs="Arial"/>
              <w:sz w:val="18"/>
              <w:szCs w:val="18"/>
              <w:lang w:val="is-IS"/>
            </w:rPr>
            <w:t>október</w:t>
          </w:r>
          <w:r w:rsidRPr="001B4763">
            <w:rPr>
              <w:rFonts w:cs="Arial"/>
              <w:sz w:val="18"/>
              <w:szCs w:val="18"/>
              <w:lang w:val="is-IS"/>
            </w:rPr>
            <w:t xml:space="preserve"> 201</w:t>
          </w:r>
          <w:r>
            <w:rPr>
              <w:rFonts w:cs="Arial"/>
              <w:sz w:val="18"/>
              <w:szCs w:val="18"/>
              <w:lang w:val="is-IS"/>
            </w:rPr>
            <w:t>4</w:t>
          </w:r>
          <w:r w:rsidRPr="001B4763">
            <w:rPr>
              <w:rFonts w:cs="Arial"/>
              <w:sz w:val="18"/>
              <w:szCs w:val="18"/>
              <w:lang w:val="is-IS"/>
            </w:rPr>
            <w:t xml:space="preserve"> </w:t>
          </w:r>
          <w:r w:rsidRPr="001B4763">
            <w:rPr>
              <w:rFonts w:cs="Arial"/>
              <w:color w:val="E8AF27"/>
              <w:sz w:val="18"/>
              <w:szCs w:val="18"/>
              <w:lang w:val="is-IS"/>
            </w:rPr>
            <w:t>|</w:t>
          </w:r>
          <w:r w:rsidRPr="001B4763">
            <w:rPr>
              <w:rFonts w:cs="Arial"/>
              <w:sz w:val="18"/>
              <w:szCs w:val="18"/>
              <w:lang w:val="is-IS"/>
            </w:rPr>
            <w:t xml:space="preserve"> Uppgjörstilkynning frá Icelandair Group </w:t>
          </w:r>
        </w:p>
      </w:tc>
      <w:tc>
        <w:tcPr>
          <w:tcW w:w="3231" w:type="dxa"/>
        </w:tcPr>
        <w:p w:rsidR="009279CB" w:rsidRDefault="009279CB" w:rsidP="006B67FE">
          <w:pPr>
            <w:pStyle w:val="Header"/>
            <w:jc w:val="right"/>
          </w:pPr>
          <w:r w:rsidRPr="00CF2603">
            <w:rPr>
              <w:noProof/>
              <w:lang w:val="is-IS" w:eastAsia="is-IS"/>
            </w:rPr>
            <w:drawing>
              <wp:inline distT="0" distB="0" distL="0" distR="0" wp14:anchorId="6B4EEDF8" wp14:editId="4E0C361C">
                <wp:extent cx="1267768" cy="318053"/>
                <wp:effectExtent l="19050" t="0" r="8582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205" cy="318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79CB" w:rsidRDefault="009279CB">
    <w:pPr>
      <w:pStyle w:val="Header"/>
    </w:pPr>
  </w:p>
  <w:p w:rsidR="009279CB" w:rsidRDefault="00927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7FC"/>
    <w:multiLevelType w:val="hybridMultilevel"/>
    <w:tmpl w:val="F184D6F2"/>
    <w:lvl w:ilvl="0" w:tplc="180E2118">
      <w:start w:val="1"/>
      <w:numFmt w:val="bullet"/>
      <w:pStyle w:val="Heading2"/>
      <w:lvlText w:val="ǀ"/>
      <w:lvlJc w:val="left"/>
      <w:pPr>
        <w:ind w:left="360" w:hanging="360"/>
      </w:pPr>
      <w:rPr>
        <w:rFonts w:ascii="Cambria" w:hAnsi="Cambria" w:hint="default"/>
        <w:color w:val="E8AF27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26"/>
    <w:rsid w:val="000030AB"/>
    <w:rsid w:val="000031FB"/>
    <w:rsid w:val="000105B9"/>
    <w:rsid w:val="00017C2E"/>
    <w:rsid w:val="000244AA"/>
    <w:rsid w:val="00024591"/>
    <w:rsid w:val="00033F06"/>
    <w:rsid w:val="00035D62"/>
    <w:rsid w:val="00035FC0"/>
    <w:rsid w:val="0003652D"/>
    <w:rsid w:val="00042809"/>
    <w:rsid w:val="00043387"/>
    <w:rsid w:val="0004340D"/>
    <w:rsid w:val="000473E0"/>
    <w:rsid w:val="00050A08"/>
    <w:rsid w:val="00051D7D"/>
    <w:rsid w:val="00056538"/>
    <w:rsid w:val="00056B56"/>
    <w:rsid w:val="000752B6"/>
    <w:rsid w:val="00090A66"/>
    <w:rsid w:val="00094B13"/>
    <w:rsid w:val="000B0D0A"/>
    <w:rsid w:val="000B3CFF"/>
    <w:rsid w:val="000B3DEA"/>
    <w:rsid w:val="000B6B74"/>
    <w:rsid w:val="000C6A44"/>
    <w:rsid w:val="000D06E6"/>
    <w:rsid w:val="000D14CD"/>
    <w:rsid w:val="000D4BBC"/>
    <w:rsid w:val="000E0B01"/>
    <w:rsid w:val="000E0C81"/>
    <w:rsid w:val="000E42E3"/>
    <w:rsid w:val="000E7E4A"/>
    <w:rsid w:val="000F0B3A"/>
    <w:rsid w:val="000F2718"/>
    <w:rsid w:val="000F3C38"/>
    <w:rsid w:val="000F4267"/>
    <w:rsid w:val="000F77BA"/>
    <w:rsid w:val="0010165C"/>
    <w:rsid w:val="00102837"/>
    <w:rsid w:val="00105064"/>
    <w:rsid w:val="00110974"/>
    <w:rsid w:val="00113C70"/>
    <w:rsid w:val="00124707"/>
    <w:rsid w:val="001311F9"/>
    <w:rsid w:val="00132C34"/>
    <w:rsid w:val="00141F58"/>
    <w:rsid w:val="00150D79"/>
    <w:rsid w:val="0015151E"/>
    <w:rsid w:val="0015166E"/>
    <w:rsid w:val="00162561"/>
    <w:rsid w:val="001713FE"/>
    <w:rsid w:val="001823F4"/>
    <w:rsid w:val="0018581D"/>
    <w:rsid w:val="00186FFF"/>
    <w:rsid w:val="00191C0A"/>
    <w:rsid w:val="00197D62"/>
    <w:rsid w:val="001A0A77"/>
    <w:rsid w:val="001A1EBA"/>
    <w:rsid w:val="001A397E"/>
    <w:rsid w:val="001B0742"/>
    <w:rsid w:val="001B0C29"/>
    <w:rsid w:val="001B3726"/>
    <w:rsid w:val="001B4BCD"/>
    <w:rsid w:val="001B62D0"/>
    <w:rsid w:val="001C7A2A"/>
    <w:rsid w:val="001D42A4"/>
    <w:rsid w:val="001D7E0A"/>
    <w:rsid w:val="001E3354"/>
    <w:rsid w:val="001E390D"/>
    <w:rsid w:val="001E53B0"/>
    <w:rsid w:val="001F1980"/>
    <w:rsid w:val="001F19DC"/>
    <w:rsid w:val="001F276B"/>
    <w:rsid w:val="00201C45"/>
    <w:rsid w:val="00205718"/>
    <w:rsid w:val="00205A70"/>
    <w:rsid w:val="00206326"/>
    <w:rsid w:val="00206EC1"/>
    <w:rsid w:val="002121F8"/>
    <w:rsid w:val="002129B6"/>
    <w:rsid w:val="0021494D"/>
    <w:rsid w:val="002149E3"/>
    <w:rsid w:val="002244D3"/>
    <w:rsid w:val="0023057F"/>
    <w:rsid w:val="00234F22"/>
    <w:rsid w:val="00236079"/>
    <w:rsid w:val="00252A57"/>
    <w:rsid w:val="00256679"/>
    <w:rsid w:val="00257815"/>
    <w:rsid w:val="002602C5"/>
    <w:rsid w:val="002629E0"/>
    <w:rsid w:val="00264526"/>
    <w:rsid w:val="002657FA"/>
    <w:rsid w:val="002658C7"/>
    <w:rsid w:val="0027019C"/>
    <w:rsid w:val="00273E21"/>
    <w:rsid w:val="0028026D"/>
    <w:rsid w:val="002820E9"/>
    <w:rsid w:val="00284568"/>
    <w:rsid w:val="00291928"/>
    <w:rsid w:val="0029658C"/>
    <w:rsid w:val="002967B0"/>
    <w:rsid w:val="0029714B"/>
    <w:rsid w:val="002A04C5"/>
    <w:rsid w:val="002A1622"/>
    <w:rsid w:val="002A658A"/>
    <w:rsid w:val="002C6117"/>
    <w:rsid w:val="002D0575"/>
    <w:rsid w:val="002D62B4"/>
    <w:rsid w:val="002E196D"/>
    <w:rsid w:val="002E3667"/>
    <w:rsid w:val="002E4DA1"/>
    <w:rsid w:val="002E7F8F"/>
    <w:rsid w:val="002F07D8"/>
    <w:rsid w:val="002F5703"/>
    <w:rsid w:val="00300C0B"/>
    <w:rsid w:val="0030143A"/>
    <w:rsid w:val="00313A8B"/>
    <w:rsid w:val="003178A9"/>
    <w:rsid w:val="003213ED"/>
    <w:rsid w:val="00324358"/>
    <w:rsid w:val="00331EB9"/>
    <w:rsid w:val="003443E6"/>
    <w:rsid w:val="00350A12"/>
    <w:rsid w:val="00353DEF"/>
    <w:rsid w:val="00354636"/>
    <w:rsid w:val="00361B60"/>
    <w:rsid w:val="0036752C"/>
    <w:rsid w:val="00374724"/>
    <w:rsid w:val="003751F0"/>
    <w:rsid w:val="00386C26"/>
    <w:rsid w:val="003A6B38"/>
    <w:rsid w:val="003B1BD4"/>
    <w:rsid w:val="003B4595"/>
    <w:rsid w:val="003B6767"/>
    <w:rsid w:val="003B6D4C"/>
    <w:rsid w:val="003B7497"/>
    <w:rsid w:val="003C4F2D"/>
    <w:rsid w:val="003C5298"/>
    <w:rsid w:val="003D4550"/>
    <w:rsid w:val="003E24BC"/>
    <w:rsid w:val="003E3DFC"/>
    <w:rsid w:val="003E535F"/>
    <w:rsid w:val="003E64BC"/>
    <w:rsid w:val="003F5E6B"/>
    <w:rsid w:val="003F6553"/>
    <w:rsid w:val="00402336"/>
    <w:rsid w:val="00405FE3"/>
    <w:rsid w:val="00416D1F"/>
    <w:rsid w:val="00417B2A"/>
    <w:rsid w:val="00420739"/>
    <w:rsid w:val="00423F07"/>
    <w:rsid w:val="004240BA"/>
    <w:rsid w:val="00425E45"/>
    <w:rsid w:val="00427631"/>
    <w:rsid w:val="00427DBA"/>
    <w:rsid w:val="004305BA"/>
    <w:rsid w:val="00430F48"/>
    <w:rsid w:val="00432787"/>
    <w:rsid w:val="00434520"/>
    <w:rsid w:val="00437D78"/>
    <w:rsid w:val="00440BFF"/>
    <w:rsid w:val="00441F76"/>
    <w:rsid w:val="004433A8"/>
    <w:rsid w:val="004478C4"/>
    <w:rsid w:val="004736EF"/>
    <w:rsid w:val="00475EAA"/>
    <w:rsid w:val="00476785"/>
    <w:rsid w:val="00483FDE"/>
    <w:rsid w:val="00487568"/>
    <w:rsid w:val="00494555"/>
    <w:rsid w:val="00497252"/>
    <w:rsid w:val="004A0868"/>
    <w:rsid w:val="004A566D"/>
    <w:rsid w:val="004B19F6"/>
    <w:rsid w:val="004C4293"/>
    <w:rsid w:val="004C4399"/>
    <w:rsid w:val="004D0675"/>
    <w:rsid w:val="004D2EB0"/>
    <w:rsid w:val="004D2FC6"/>
    <w:rsid w:val="004E4028"/>
    <w:rsid w:val="004F3A5F"/>
    <w:rsid w:val="004F4138"/>
    <w:rsid w:val="004F6210"/>
    <w:rsid w:val="005166E5"/>
    <w:rsid w:val="00522013"/>
    <w:rsid w:val="00534E87"/>
    <w:rsid w:val="00552080"/>
    <w:rsid w:val="00552347"/>
    <w:rsid w:val="005625BA"/>
    <w:rsid w:val="005630D2"/>
    <w:rsid w:val="005648B4"/>
    <w:rsid w:val="0056568A"/>
    <w:rsid w:val="00570FD4"/>
    <w:rsid w:val="005A0630"/>
    <w:rsid w:val="005A4266"/>
    <w:rsid w:val="005A6900"/>
    <w:rsid w:val="005B5B78"/>
    <w:rsid w:val="005B5C9C"/>
    <w:rsid w:val="005C08AF"/>
    <w:rsid w:val="005C095E"/>
    <w:rsid w:val="005C1EF0"/>
    <w:rsid w:val="005C2F7E"/>
    <w:rsid w:val="005C734F"/>
    <w:rsid w:val="005D3FCF"/>
    <w:rsid w:val="005E2CF9"/>
    <w:rsid w:val="005E4334"/>
    <w:rsid w:val="005F2BC5"/>
    <w:rsid w:val="005F5250"/>
    <w:rsid w:val="00603552"/>
    <w:rsid w:val="0061184A"/>
    <w:rsid w:val="006156D8"/>
    <w:rsid w:val="006250D4"/>
    <w:rsid w:val="00627DA8"/>
    <w:rsid w:val="00633050"/>
    <w:rsid w:val="00636AB4"/>
    <w:rsid w:val="00640F39"/>
    <w:rsid w:val="00646CAB"/>
    <w:rsid w:val="0064763F"/>
    <w:rsid w:val="00652F52"/>
    <w:rsid w:val="00663042"/>
    <w:rsid w:val="00664C02"/>
    <w:rsid w:val="00665D3E"/>
    <w:rsid w:val="00670B19"/>
    <w:rsid w:val="006718E8"/>
    <w:rsid w:val="0067551A"/>
    <w:rsid w:val="006836AD"/>
    <w:rsid w:val="00693474"/>
    <w:rsid w:val="006943A2"/>
    <w:rsid w:val="00694A06"/>
    <w:rsid w:val="0069568D"/>
    <w:rsid w:val="006A57DF"/>
    <w:rsid w:val="006A6DA0"/>
    <w:rsid w:val="006B3F9B"/>
    <w:rsid w:val="006B67FE"/>
    <w:rsid w:val="006C141F"/>
    <w:rsid w:val="006C1994"/>
    <w:rsid w:val="006C19D9"/>
    <w:rsid w:val="006C5C64"/>
    <w:rsid w:val="006D4B28"/>
    <w:rsid w:val="006D53A2"/>
    <w:rsid w:val="006E3A9D"/>
    <w:rsid w:val="006F0EBA"/>
    <w:rsid w:val="006F53E3"/>
    <w:rsid w:val="00704D5E"/>
    <w:rsid w:val="00706BA2"/>
    <w:rsid w:val="00710081"/>
    <w:rsid w:val="0071241B"/>
    <w:rsid w:val="00714DD9"/>
    <w:rsid w:val="0072001E"/>
    <w:rsid w:val="00721E82"/>
    <w:rsid w:val="0073194A"/>
    <w:rsid w:val="007320BB"/>
    <w:rsid w:val="00734327"/>
    <w:rsid w:val="00740D29"/>
    <w:rsid w:val="00741243"/>
    <w:rsid w:val="00745022"/>
    <w:rsid w:val="00752EA4"/>
    <w:rsid w:val="00753FAB"/>
    <w:rsid w:val="00754B6F"/>
    <w:rsid w:val="00756BD6"/>
    <w:rsid w:val="00757F4F"/>
    <w:rsid w:val="007604D5"/>
    <w:rsid w:val="00766713"/>
    <w:rsid w:val="00766870"/>
    <w:rsid w:val="00767193"/>
    <w:rsid w:val="00776BB5"/>
    <w:rsid w:val="00783922"/>
    <w:rsid w:val="0078747C"/>
    <w:rsid w:val="0079368C"/>
    <w:rsid w:val="00793E2F"/>
    <w:rsid w:val="00795BDD"/>
    <w:rsid w:val="007A4111"/>
    <w:rsid w:val="007B3B05"/>
    <w:rsid w:val="007C246A"/>
    <w:rsid w:val="007C79DE"/>
    <w:rsid w:val="007D6BD9"/>
    <w:rsid w:val="007D7980"/>
    <w:rsid w:val="007E727D"/>
    <w:rsid w:val="007F4115"/>
    <w:rsid w:val="00806BBA"/>
    <w:rsid w:val="008102F5"/>
    <w:rsid w:val="00811267"/>
    <w:rsid w:val="00815B0C"/>
    <w:rsid w:val="008251E7"/>
    <w:rsid w:val="0084480B"/>
    <w:rsid w:val="0085174A"/>
    <w:rsid w:val="00851946"/>
    <w:rsid w:val="0085259E"/>
    <w:rsid w:val="00852D4C"/>
    <w:rsid w:val="00862E3D"/>
    <w:rsid w:val="008776D7"/>
    <w:rsid w:val="00882958"/>
    <w:rsid w:val="0089070B"/>
    <w:rsid w:val="00894E53"/>
    <w:rsid w:val="008B4E1D"/>
    <w:rsid w:val="008C2733"/>
    <w:rsid w:val="008C4A9A"/>
    <w:rsid w:val="008C6C08"/>
    <w:rsid w:val="008C70A9"/>
    <w:rsid w:val="008D003C"/>
    <w:rsid w:val="008E089E"/>
    <w:rsid w:val="008E2597"/>
    <w:rsid w:val="008E366E"/>
    <w:rsid w:val="008E3D40"/>
    <w:rsid w:val="008F55C0"/>
    <w:rsid w:val="00905AFD"/>
    <w:rsid w:val="00906F5E"/>
    <w:rsid w:val="009133BD"/>
    <w:rsid w:val="009279CB"/>
    <w:rsid w:val="0093159B"/>
    <w:rsid w:val="0093168C"/>
    <w:rsid w:val="0093516D"/>
    <w:rsid w:val="00944C89"/>
    <w:rsid w:val="009552BB"/>
    <w:rsid w:val="00966AC4"/>
    <w:rsid w:val="00977CEF"/>
    <w:rsid w:val="0098520E"/>
    <w:rsid w:val="00991011"/>
    <w:rsid w:val="00994DA3"/>
    <w:rsid w:val="00995AA7"/>
    <w:rsid w:val="009A24E5"/>
    <w:rsid w:val="009A7A68"/>
    <w:rsid w:val="009C2A6E"/>
    <w:rsid w:val="009C46CC"/>
    <w:rsid w:val="009C5508"/>
    <w:rsid w:val="009C60E2"/>
    <w:rsid w:val="009C757A"/>
    <w:rsid w:val="009C7C00"/>
    <w:rsid w:val="009F54CF"/>
    <w:rsid w:val="00A01AB1"/>
    <w:rsid w:val="00A030FB"/>
    <w:rsid w:val="00A04926"/>
    <w:rsid w:val="00A06BA0"/>
    <w:rsid w:val="00A101A3"/>
    <w:rsid w:val="00A15E3E"/>
    <w:rsid w:val="00A2154A"/>
    <w:rsid w:val="00A22F11"/>
    <w:rsid w:val="00A23033"/>
    <w:rsid w:val="00A24F05"/>
    <w:rsid w:val="00A25B36"/>
    <w:rsid w:val="00A337BC"/>
    <w:rsid w:val="00A360DF"/>
    <w:rsid w:val="00A44B83"/>
    <w:rsid w:val="00A5359B"/>
    <w:rsid w:val="00A537CD"/>
    <w:rsid w:val="00A538DA"/>
    <w:rsid w:val="00A60FA6"/>
    <w:rsid w:val="00A6232F"/>
    <w:rsid w:val="00A63037"/>
    <w:rsid w:val="00A63748"/>
    <w:rsid w:val="00A63ED6"/>
    <w:rsid w:val="00A641B8"/>
    <w:rsid w:val="00A710D6"/>
    <w:rsid w:val="00A825DD"/>
    <w:rsid w:val="00A83F65"/>
    <w:rsid w:val="00A933F1"/>
    <w:rsid w:val="00A94E8B"/>
    <w:rsid w:val="00A97F9E"/>
    <w:rsid w:val="00AA0C41"/>
    <w:rsid w:val="00AA2860"/>
    <w:rsid w:val="00AA3B44"/>
    <w:rsid w:val="00AB3619"/>
    <w:rsid w:val="00AC1C97"/>
    <w:rsid w:val="00AD10BD"/>
    <w:rsid w:val="00AD1A40"/>
    <w:rsid w:val="00AD394F"/>
    <w:rsid w:val="00AD3D00"/>
    <w:rsid w:val="00AD72C8"/>
    <w:rsid w:val="00AE683D"/>
    <w:rsid w:val="00AF02D9"/>
    <w:rsid w:val="00AF451D"/>
    <w:rsid w:val="00B04A9D"/>
    <w:rsid w:val="00B119FC"/>
    <w:rsid w:val="00B14A3C"/>
    <w:rsid w:val="00B25B07"/>
    <w:rsid w:val="00B26140"/>
    <w:rsid w:val="00B306D0"/>
    <w:rsid w:val="00B321A3"/>
    <w:rsid w:val="00B338CF"/>
    <w:rsid w:val="00B348D0"/>
    <w:rsid w:val="00B35FCC"/>
    <w:rsid w:val="00B43EDD"/>
    <w:rsid w:val="00B4541E"/>
    <w:rsid w:val="00B568BC"/>
    <w:rsid w:val="00B56A3E"/>
    <w:rsid w:val="00B63F60"/>
    <w:rsid w:val="00B64017"/>
    <w:rsid w:val="00B70D69"/>
    <w:rsid w:val="00B76806"/>
    <w:rsid w:val="00B8174C"/>
    <w:rsid w:val="00B9080A"/>
    <w:rsid w:val="00B94BDC"/>
    <w:rsid w:val="00B94C7F"/>
    <w:rsid w:val="00B95CFF"/>
    <w:rsid w:val="00BA731D"/>
    <w:rsid w:val="00BB4134"/>
    <w:rsid w:val="00BC55AD"/>
    <w:rsid w:val="00BF08D3"/>
    <w:rsid w:val="00C01ED9"/>
    <w:rsid w:val="00C11579"/>
    <w:rsid w:val="00C14EBA"/>
    <w:rsid w:val="00C26728"/>
    <w:rsid w:val="00C27FDB"/>
    <w:rsid w:val="00C32D59"/>
    <w:rsid w:val="00C44378"/>
    <w:rsid w:val="00C55E90"/>
    <w:rsid w:val="00C744AA"/>
    <w:rsid w:val="00C77658"/>
    <w:rsid w:val="00C853EE"/>
    <w:rsid w:val="00C97B7D"/>
    <w:rsid w:val="00CA17CB"/>
    <w:rsid w:val="00CA2A84"/>
    <w:rsid w:val="00CB1ACE"/>
    <w:rsid w:val="00CB6E3E"/>
    <w:rsid w:val="00CC1042"/>
    <w:rsid w:val="00CC7189"/>
    <w:rsid w:val="00CD2BD8"/>
    <w:rsid w:val="00CF443B"/>
    <w:rsid w:val="00D020D5"/>
    <w:rsid w:val="00D02DDD"/>
    <w:rsid w:val="00D1562A"/>
    <w:rsid w:val="00D17759"/>
    <w:rsid w:val="00D22B91"/>
    <w:rsid w:val="00D23D53"/>
    <w:rsid w:val="00D2554C"/>
    <w:rsid w:val="00D314BA"/>
    <w:rsid w:val="00D404C4"/>
    <w:rsid w:val="00D43E25"/>
    <w:rsid w:val="00D4469B"/>
    <w:rsid w:val="00D5065F"/>
    <w:rsid w:val="00D6208C"/>
    <w:rsid w:val="00D63B91"/>
    <w:rsid w:val="00D6616E"/>
    <w:rsid w:val="00D72B73"/>
    <w:rsid w:val="00D74FC8"/>
    <w:rsid w:val="00D81EBE"/>
    <w:rsid w:val="00D85A93"/>
    <w:rsid w:val="00D902E5"/>
    <w:rsid w:val="00D9036B"/>
    <w:rsid w:val="00D9118A"/>
    <w:rsid w:val="00D92955"/>
    <w:rsid w:val="00D940A7"/>
    <w:rsid w:val="00D95528"/>
    <w:rsid w:val="00D96D53"/>
    <w:rsid w:val="00DB3045"/>
    <w:rsid w:val="00DB551D"/>
    <w:rsid w:val="00DC0AD3"/>
    <w:rsid w:val="00DD71F4"/>
    <w:rsid w:val="00DE08C8"/>
    <w:rsid w:val="00DE4CFC"/>
    <w:rsid w:val="00DF6582"/>
    <w:rsid w:val="00DF68B2"/>
    <w:rsid w:val="00E10120"/>
    <w:rsid w:val="00E14949"/>
    <w:rsid w:val="00E15E4A"/>
    <w:rsid w:val="00E16E47"/>
    <w:rsid w:val="00E23D3F"/>
    <w:rsid w:val="00E37DDB"/>
    <w:rsid w:val="00E4137B"/>
    <w:rsid w:val="00E455C6"/>
    <w:rsid w:val="00E45760"/>
    <w:rsid w:val="00E52FCA"/>
    <w:rsid w:val="00E54AFF"/>
    <w:rsid w:val="00E6559E"/>
    <w:rsid w:val="00E6672B"/>
    <w:rsid w:val="00E74A8C"/>
    <w:rsid w:val="00E77D91"/>
    <w:rsid w:val="00E86731"/>
    <w:rsid w:val="00E91F02"/>
    <w:rsid w:val="00EA3031"/>
    <w:rsid w:val="00EB2A6D"/>
    <w:rsid w:val="00EB7706"/>
    <w:rsid w:val="00EC02A0"/>
    <w:rsid w:val="00EE01B4"/>
    <w:rsid w:val="00EE2285"/>
    <w:rsid w:val="00EE77BB"/>
    <w:rsid w:val="00EF31D6"/>
    <w:rsid w:val="00EF3538"/>
    <w:rsid w:val="00F301B8"/>
    <w:rsid w:val="00F36538"/>
    <w:rsid w:val="00F442B1"/>
    <w:rsid w:val="00F477E8"/>
    <w:rsid w:val="00F57843"/>
    <w:rsid w:val="00F632F1"/>
    <w:rsid w:val="00F70951"/>
    <w:rsid w:val="00F810E9"/>
    <w:rsid w:val="00F86739"/>
    <w:rsid w:val="00F9041A"/>
    <w:rsid w:val="00F9112C"/>
    <w:rsid w:val="00F932E9"/>
    <w:rsid w:val="00F94E10"/>
    <w:rsid w:val="00F97530"/>
    <w:rsid w:val="00FA6301"/>
    <w:rsid w:val="00FB0C9B"/>
    <w:rsid w:val="00FB253E"/>
    <w:rsid w:val="00FB73C8"/>
    <w:rsid w:val="00FC2236"/>
    <w:rsid w:val="00FC677A"/>
    <w:rsid w:val="00FC6BB4"/>
    <w:rsid w:val="00FD15CC"/>
    <w:rsid w:val="00FE774F"/>
    <w:rsid w:val="00FF1BC1"/>
    <w:rsid w:val="00FF4687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"/>
    <w:qFormat/>
    <w:rsid w:val="005D3FCF"/>
    <w:pPr>
      <w:spacing w:after="240"/>
      <w:jc w:val="both"/>
    </w:pPr>
    <w:rPr>
      <w:rFonts w:ascii="Arial" w:hAnsi="Arial"/>
      <w:color w:val="595959" w:themeColor="text1" w:themeTint="A6"/>
      <w:sz w:val="20"/>
    </w:rPr>
  </w:style>
  <w:style w:type="paragraph" w:styleId="Heading1">
    <w:name w:val="heading 1"/>
    <w:aliases w:val="Upptalningar"/>
    <w:basedOn w:val="Normal"/>
    <w:next w:val="Normal"/>
    <w:link w:val="Heading1Char"/>
    <w:uiPriority w:val="9"/>
    <w:rsid w:val="004F4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Upptalning"/>
    <w:basedOn w:val="Normal"/>
    <w:next w:val="Normal"/>
    <w:link w:val="Heading2Char"/>
    <w:uiPriority w:val="9"/>
    <w:unhideWhenUsed/>
    <w:qFormat/>
    <w:rsid w:val="00D85A93"/>
    <w:pPr>
      <w:keepNext/>
      <w:keepLines/>
      <w:numPr>
        <w:numId w:val="1"/>
      </w:numPr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Yfirskrift"/>
    <w:uiPriority w:val="1"/>
    <w:qFormat/>
    <w:rsid w:val="00197D62"/>
    <w:pPr>
      <w:pBdr>
        <w:bottom w:val="single" w:sz="8" w:space="1" w:color="E8AF27"/>
      </w:pBdr>
      <w:spacing w:before="480" w:after="240" w:line="240" w:lineRule="auto"/>
    </w:pPr>
    <w:rPr>
      <w:rFonts w:ascii="Arial" w:hAnsi="Arial"/>
      <w:b/>
      <w:caps/>
      <w:color w:val="595959" w:themeColor="text1" w:themeTint="A6"/>
      <w:sz w:val="20"/>
    </w:rPr>
  </w:style>
  <w:style w:type="character" w:customStyle="1" w:styleId="Heading1Char">
    <w:name w:val="Heading 1 Char"/>
    <w:aliases w:val="Upptalningar Char"/>
    <w:basedOn w:val="DefaultParagraphFont"/>
    <w:link w:val="Heading1"/>
    <w:uiPriority w:val="9"/>
    <w:rsid w:val="004F4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Upptalning Char"/>
    <w:basedOn w:val="DefaultParagraphFont"/>
    <w:link w:val="Heading2"/>
    <w:uiPriority w:val="9"/>
    <w:rsid w:val="00D85A93"/>
    <w:rPr>
      <w:rFonts w:ascii="Arial" w:eastAsiaTheme="majorEastAsia" w:hAnsi="Arial" w:cstheme="majorBidi"/>
      <w:b/>
      <w:bCs/>
      <w:color w:val="595959" w:themeColor="text1" w:themeTint="A6"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19"/>
    <w:rPr>
      <w:rFonts w:ascii="Tahoma" w:hAnsi="Tahoma" w:cs="Tahoma"/>
      <w:color w:val="595959" w:themeColor="text1" w:themeTint="A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6EF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736EF"/>
    <w:rPr>
      <w:rFonts w:ascii="Arial" w:hAnsi="Arial"/>
      <w:color w:val="595959" w:themeColor="text1" w:themeTint="A6"/>
      <w:sz w:val="20"/>
      <w:lang w:val="en-GB"/>
    </w:rPr>
  </w:style>
  <w:style w:type="table" w:styleId="TableGrid">
    <w:name w:val="Table Grid"/>
    <w:basedOn w:val="TableNormal"/>
    <w:uiPriority w:val="59"/>
    <w:rsid w:val="004736E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7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EF"/>
    <w:rPr>
      <w:rFonts w:ascii="Arial" w:hAnsi="Arial"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F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FE"/>
    <w:rPr>
      <w:rFonts w:ascii="Arial" w:hAnsi="Arial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FE"/>
    <w:rPr>
      <w:rFonts w:ascii="Arial" w:hAnsi="Arial"/>
      <w:b/>
      <w:bCs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39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913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"/>
    <w:qFormat/>
    <w:rsid w:val="005D3FCF"/>
    <w:pPr>
      <w:spacing w:after="240"/>
      <w:jc w:val="both"/>
    </w:pPr>
    <w:rPr>
      <w:rFonts w:ascii="Arial" w:hAnsi="Arial"/>
      <w:color w:val="595959" w:themeColor="text1" w:themeTint="A6"/>
      <w:sz w:val="20"/>
    </w:rPr>
  </w:style>
  <w:style w:type="paragraph" w:styleId="Heading1">
    <w:name w:val="heading 1"/>
    <w:aliases w:val="Upptalningar"/>
    <w:basedOn w:val="Normal"/>
    <w:next w:val="Normal"/>
    <w:link w:val="Heading1Char"/>
    <w:uiPriority w:val="9"/>
    <w:rsid w:val="004F4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Upptalning"/>
    <w:basedOn w:val="Normal"/>
    <w:next w:val="Normal"/>
    <w:link w:val="Heading2Char"/>
    <w:uiPriority w:val="9"/>
    <w:unhideWhenUsed/>
    <w:qFormat/>
    <w:rsid w:val="00D85A93"/>
    <w:pPr>
      <w:keepNext/>
      <w:keepLines/>
      <w:numPr>
        <w:numId w:val="1"/>
      </w:numPr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Yfirskrift"/>
    <w:uiPriority w:val="1"/>
    <w:qFormat/>
    <w:rsid w:val="00197D62"/>
    <w:pPr>
      <w:pBdr>
        <w:bottom w:val="single" w:sz="8" w:space="1" w:color="E8AF27"/>
      </w:pBdr>
      <w:spacing w:before="480" w:after="240" w:line="240" w:lineRule="auto"/>
    </w:pPr>
    <w:rPr>
      <w:rFonts w:ascii="Arial" w:hAnsi="Arial"/>
      <w:b/>
      <w:caps/>
      <w:color w:val="595959" w:themeColor="text1" w:themeTint="A6"/>
      <w:sz w:val="20"/>
    </w:rPr>
  </w:style>
  <w:style w:type="character" w:customStyle="1" w:styleId="Heading1Char">
    <w:name w:val="Heading 1 Char"/>
    <w:aliases w:val="Upptalningar Char"/>
    <w:basedOn w:val="DefaultParagraphFont"/>
    <w:link w:val="Heading1"/>
    <w:uiPriority w:val="9"/>
    <w:rsid w:val="004F4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Upptalning Char"/>
    <w:basedOn w:val="DefaultParagraphFont"/>
    <w:link w:val="Heading2"/>
    <w:uiPriority w:val="9"/>
    <w:rsid w:val="00D85A93"/>
    <w:rPr>
      <w:rFonts w:ascii="Arial" w:eastAsiaTheme="majorEastAsia" w:hAnsi="Arial" w:cstheme="majorBidi"/>
      <w:b/>
      <w:bCs/>
      <w:color w:val="595959" w:themeColor="text1" w:themeTint="A6"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19"/>
    <w:rPr>
      <w:rFonts w:ascii="Tahoma" w:hAnsi="Tahoma" w:cs="Tahoma"/>
      <w:color w:val="595959" w:themeColor="text1" w:themeTint="A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6EF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736EF"/>
    <w:rPr>
      <w:rFonts w:ascii="Arial" w:hAnsi="Arial"/>
      <w:color w:val="595959" w:themeColor="text1" w:themeTint="A6"/>
      <w:sz w:val="20"/>
      <w:lang w:val="en-GB"/>
    </w:rPr>
  </w:style>
  <w:style w:type="table" w:styleId="TableGrid">
    <w:name w:val="Table Grid"/>
    <w:basedOn w:val="TableNormal"/>
    <w:uiPriority w:val="59"/>
    <w:rsid w:val="004736E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473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EF"/>
    <w:rPr>
      <w:rFonts w:ascii="Arial" w:hAnsi="Arial"/>
      <w:color w:val="595959" w:themeColor="text1" w:themeTint="A6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6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F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FE"/>
    <w:rPr>
      <w:rFonts w:ascii="Arial" w:hAnsi="Arial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FE"/>
    <w:rPr>
      <w:rFonts w:ascii="Arial" w:hAnsi="Arial"/>
      <w:b/>
      <w:bCs/>
      <w:color w:val="595959" w:themeColor="text1" w:themeTint="A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39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913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celandairgroup.is/investors/reports-and-presentations/webca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2291-02CF-4C23-9086-8DDDFC6A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Icelandair</Company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Íris Hulda Þórisdóttir</dc:creator>
  <cp:lastModifiedBy>Íris Hulda Þórisdóttir</cp:lastModifiedBy>
  <cp:revision>5</cp:revision>
  <cp:lastPrinted>2014-10-30T11:22:00Z</cp:lastPrinted>
  <dcterms:created xsi:type="dcterms:W3CDTF">2014-10-30T13:41:00Z</dcterms:created>
  <dcterms:modified xsi:type="dcterms:W3CDTF">2014-10-30T14:54:00Z</dcterms:modified>
</cp:coreProperties>
</file>