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D" w:rsidRDefault="00AB6DB7" w:rsidP="00D77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DRAFT</w:t>
      </w:r>
    </w:p>
    <w:p w:rsidR="00D77DCD" w:rsidRDefault="00D77DCD" w:rsidP="00D77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7DCD" w:rsidRDefault="00D77DCD" w:rsidP="008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5414F" w:rsidRPr="00D906CB" w:rsidRDefault="00A516C3" w:rsidP="008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JSC</w:t>
      </w:r>
      <w:r w:rsidR="0085414F" w:rsidRPr="00D906C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“RĪGAS FARMACEITISKĀ FABRIKA”</w:t>
      </w:r>
    </w:p>
    <w:p w:rsidR="00D77DCD" w:rsidRDefault="00A516C3" w:rsidP="008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16C3">
        <w:rPr>
          <w:rFonts w:ascii="Times New Roman" w:hAnsi="Times New Roman" w:cs="Times New Roman"/>
          <w:b/>
          <w:bCs/>
          <w:sz w:val="24"/>
          <w:szCs w:val="24"/>
        </w:rPr>
        <w:t>Amendments</w:t>
      </w:r>
      <w:proofErr w:type="spellEnd"/>
      <w:r w:rsidRPr="00A516C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A516C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51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6C3">
        <w:rPr>
          <w:rFonts w:ascii="Times New Roman" w:hAnsi="Times New Roman" w:cs="Times New Roman"/>
          <w:b/>
          <w:bCs/>
          <w:sz w:val="24"/>
          <w:szCs w:val="24"/>
        </w:rPr>
        <w:t>Articles</w:t>
      </w:r>
      <w:proofErr w:type="spellEnd"/>
      <w:r w:rsidRPr="00A51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6C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51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6C3">
        <w:rPr>
          <w:rFonts w:ascii="Times New Roman" w:hAnsi="Times New Roman" w:cs="Times New Roman"/>
          <w:b/>
          <w:bCs/>
          <w:sz w:val="24"/>
          <w:szCs w:val="24"/>
        </w:rPr>
        <w:t>Association</w:t>
      </w:r>
      <w:proofErr w:type="spellEnd"/>
    </w:p>
    <w:p w:rsidR="00A516C3" w:rsidRPr="00D906CB" w:rsidRDefault="00A516C3" w:rsidP="008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6740" w:rsidRPr="00A42382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A42382">
        <w:rPr>
          <w:rFonts w:ascii="Times New Roman" w:hAnsi="Times New Roman" w:cs="Times New Roman"/>
          <w:sz w:val="24"/>
          <w:szCs w:val="24"/>
          <w:lang w:val="en-GB"/>
        </w:rPr>
        <w:t>To approve the following amendments to the Articles of Association of JSC “RĪGAS FARMACEITISKĀ FABRIKA”, by 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pressing Clause 4.1., </w:t>
      </w:r>
      <w:r w:rsidRPr="00A42382">
        <w:rPr>
          <w:rFonts w:ascii="Times New Roman" w:hAnsi="Times New Roman" w:cs="Times New Roman"/>
          <w:sz w:val="24"/>
          <w:szCs w:val="24"/>
          <w:lang w:val="en-GB"/>
        </w:rPr>
        <w:t>4.2.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10.6.</w:t>
      </w:r>
      <w:r w:rsidRPr="00A423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42382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A42382">
        <w:rPr>
          <w:rFonts w:ascii="Times New Roman" w:hAnsi="Times New Roman" w:cs="Times New Roman"/>
          <w:sz w:val="24"/>
          <w:szCs w:val="24"/>
          <w:lang w:val="en-GB"/>
        </w:rPr>
        <w:t xml:space="preserve"> the Articles of Association in a new wording:</w:t>
      </w:r>
    </w:p>
    <w:p w:rsidR="00DF6740" w:rsidRPr="008A7E93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A7E9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“</w:t>
      </w: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4.1. Company’s share capital is EUR 928 200 (nine hundred twenty eight thousand two hundred euros).</w:t>
      </w:r>
    </w:p>
    <w:p w:rsidR="00DF6740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4.2. Company’s share capital is formed by 663 000 (</w:t>
      </w:r>
      <w:r w:rsidRPr="008A7E93">
        <w:rPr>
          <w:rFonts w:ascii="Times New Roman" w:hAnsi="Times New Roman" w:cs="Times New Roman"/>
          <w:i/>
          <w:sz w:val="24"/>
          <w:szCs w:val="24"/>
          <w:lang w:val="en-GB"/>
        </w:rPr>
        <w:t>six hundred sixty three thousand</w:t>
      </w: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) shares with voting rights and nominal value EUR 1</w:t>
      </w:r>
      <w:proofErr w:type="gramStart"/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,40</w:t>
      </w:r>
      <w:proofErr w:type="gramEnd"/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</w:t>
      </w:r>
      <w:r w:rsidRPr="008A7E93">
        <w:rPr>
          <w:rFonts w:ascii="Times New Roman" w:hAnsi="Times New Roman" w:cs="Times New Roman"/>
          <w:i/>
          <w:sz w:val="24"/>
          <w:szCs w:val="24"/>
          <w:lang w:val="en-GB"/>
        </w:rPr>
        <w:t>one euro and forty cents</w:t>
      </w: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). 507 000 Company’s shares are beare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shares and 156 000 Company’s shares are registered shares. All Company’s shares are </w:t>
      </w:r>
      <w:r w:rsidRPr="008A7E93">
        <w:rPr>
          <w:rFonts w:ascii="Times New Roman" w:hAnsi="Times New Roman" w:cs="Times New Roman"/>
          <w:i/>
          <w:sz w:val="24"/>
          <w:szCs w:val="24"/>
          <w:lang w:val="en-GB"/>
        </w:rPr>
        <w:t>dematerialized shares</w:t>
      </w: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10.6. In order to decide matters of high significance, the Board must obtain an approval of the Council. The following shall be deemed as matters of high significance: 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(1)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acquisition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interest in other companies, increase and reduction of interest;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(2)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acquisition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alienation of enterprise;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(3)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acquisition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real 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estate, alienation or encumbrance with rights in rem;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(4)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establishment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or closure of affiliates and representative office;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(5)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issuing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loans not related to the common commercial practice of the Company;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(6)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issuing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credit to employees of the Company;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(7)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commencement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new types of activity and suspension of the existing types of activity;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(8)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determination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general principles of activity;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(9)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determination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dividend payment procedure;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(10)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encumbrance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other assets of the Company; 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(11)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undertaking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guarantee, warranty and other off-balance liabilities;</w:t>
      </w:r>
    </w:p>
    <w:p w:rsidR="00DF6740" w:rsidRPr="00C604D5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(12)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gramStart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obtainment</w:t>
      </w:r>
      <w:proofErr w:type="gramEnd"/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credit from third persons.</w:t>
      </w:r>
    </w:p>
    <w:p w:rsidR="00E95DAB" w:rsidRDefault="00DF6740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In order to conclude agreements with total amount of the transaction exceeding EUR 70</w:t>
      </w:r>
      <w:r w:rsidR="00083C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604D5">
        <w:rPr>
          <w:rFonts w:ascii="Times New Roman" w:hAnsi="Times New Roman" w:cs="Times New Roman"/>
          <w:i/>
          <w:iCs/>
          <w:sz w:val="24"/>
          <w:szCs w:val="24"/>
          <w:lang w:val="en-GB"/>
        </w:rPr>
        <w:t>000 (seventy thousand euro), the Board is required to acquire an approval from all members of the Council.</w:t>
      </w:r>
      <w:r w:rsidRPr="008A7E93">
        <w:rPr>
          <w:rFonts w:ascii="Times New Roman" w:hAnsi="Times New Roman" w:cs="Times New Roman"/>
          <w:i/>
          <w:iCs/>
          <w:sz w:val="24"/>
          <w:szCs w:val="24"/>
          <w:lang w:val="en-GB"/>
        </w:rPr>
        <w:t>”</w:t>
      </w:r>
    </w:p>
    <w:p w:rsidR="00DA7925" w:rsidRDefault="00DA7925" w:rsidP="00E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95DAB" w:rsidRPr="004B4CDF" w:rsidRDefault="00E95DAB" w:rsidP="00E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A42382">
        <w:rPr>
          <w:rFonts w:ascii="Times New Roman" w:hAnsi="Times New Roman" w:cs="Times New Roman"/>
          <w:sz w:val="24"/>
          <w:szCs w:val="24"/>
          <w:lang w:val="en-GB"/>
        </w:rPr>
        <w:t>To approve the following amendments to the Articles of Association of JSC “RĪGAS FARMACEITISKĀ FABRIKA”, by 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pressing Clause 4.1.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2382">
        <w:rPr>
          <w:rFonts w:ascii="Times New Roman" w:hAnsi="Times New Roman" w:cs="Times New Roman"/>
          <w:sz w:val="24"/>
          <w:szCs w:val="24"/>
          <w:lang w:val="en-GB"/>
        </w:rPr>
        <w:t>4.2.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42382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A42382">
        <w:rPr>
          <w:rFonts w:ascii="Times New Roman" w:hAnsi="Times New Roman" w:cs="Times New Roman"/>
          <w:sz w:val="24"/>
          <w:szCs w:val="24"/>
          <w:lang w:val="en-GB"/>
        </w:rPr>
        <w:t xml:space="preserve"> the Articles of Association in a new </w:t>
      </w:r>
      <w:r w:rsidRPr="004B4CDF">
        <w:rPr>
          <w:rFonts w:ascii="Times New Roman" w:hAnsi="Times New Roman" w:cs="Times New Roman"/>
          <w:sz w:val="24"/>
          <w:szCs w:val="24"/>
          <w:lang w:val="en-GB"/>
        </w:rPr>
        <w:t>wording:</w:t>
      </w:r>
    </w:p>
    <w:p w:rsidR="00E95DAB" w:rsidRPr="004B4CDF" w:rsidRDefault="00E95DAB" w:rsidP="00E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0" w:name="_GoBack"/>
      <w:bookmarkEnd w:id="0"/>
      <w:r w:rsidRPr="004B4CDF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“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4.1. Company’s share capital is EUR </w:t>
      </w:r>
      <w:r w:rsidRPr="004B4CD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2 930 200 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>(two million nine hundred thirty thousand two hundred euros).</w:t>
      </w:r>
    </w:p>
    <w:p w:rsidR="00E95DAB" w:rsidRPr="004B4CDF" w:rsidRDefault="00E95DAB" w:rsidP="00E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4.2. Company’s share capital is formed by </w:t>
      </w:r>
      <w:r w:rsidRPr="004B4CD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2 093 000 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Pr="004B4CDF">
        <w:rPr>
          <w:rFonts w:ascii="Times New Roman" w:hAnsi="Times New Roman" w:cs="Times New Roman"/>
          <w:i/>
          <w:sz w:val="24"/>
          <w:szCs w:val="24"/>
          <w:lang w:val="en-GB"/>
        </w:rPr>
        <w:t>two million ninety three thousand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>) shares with voting rights and nominal value EUR 1</w:t>
      </w:r>
      <w:proofErr w:type="gramStart"/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>,40</w:t>
      </w:r>
      <w:proofErr w:type="gramEnd"/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</w:t>
      </w:r>
      <w:r w:rsidRPr="004B4CDF">
        <w:rPr>
          <w:rFonts w:ascii="Times New Roman" w:hAnsi="Times New Roman" w:cs="Times New Roman"/>
          <w:i/>
          <w:sz w:val="24"/>
          <w:szCs w:val="24"/>
          <w:lang w:val="en-GB"/>
        </w:rPr>
        <w:t>one euro and forty cents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). 507 000 Company’s shares are bearer shares and </w:t>
      </w:r>
      <w:r w:rsidRPr="004B4CDF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1 586 000 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Company’s shares are registered shares. All Company’s shares are </w:t>
      </w:r>
      <w:r w:rsidRPr="004B4CDF">
        <w:rPr>
          <w:rFonts w:ascii="Times New Roman" w:hAnsi="Times New Roman" w:cs="Times New Roman"/>
          <w:i/>
          <w:sz w:val="24"/>
          <w:szCs w:val="24"/>
          <w:lang w:val="en-GB"/>
        </w:rPr>
        <w:t>dematerialized shares</w:t>
      </w:r>
      <w:r w:rsidRPr="004B4CDF">
        <w:rPr>
          <w:rFonts w:ascii="Times New Roman" w:hAnsi="Times New Roman" w:cs="Times New Roman"/>
          <w:i/>
          <w:iCs/>
          <w:sz w:val="24"/>
          <w:szCs w:val="24"/>
          <w:lang w:val="en-GB"/>
        </w:rPr>
        <w:t>.”</w:t>
      </w:r>
    </w:p>
    <w:p w:rsidR="00E95DAB" w:rsidRPr="004B4CDF" w:rsidRDefault="00E95DAB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4B4CDF" w:rsidRPr="004B4CDF" w:rsidRDefault="004B4CDF" w:rsidP="00DF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4B4CDF" w:rsidRPr="00A42382" w:rsidRDefault="004B4CDF" w:rsidP="004B4CDF">
      <w:pPr>
        <w:rPr>
          <w:sz w:val="24"/>
          <w:szCs w:val="24"/>
          <w:lang w:val="en-GB"/>
        </w:rPr>
      </w:pPr>
      <w:r w:rsidRPr="004B4CDF">
        <w:rPr>
          <w:rFonts w:ascii="Times New Roman" w:hAnsi="Times New Roman" w:cs="Times New Roman"/>
          <w:sz w:val="24"/>
          <w:szCs w:val="24"/>
          <w:lang w:val="en-GB"/>
        </w:rPr>
        <w:t>JSC “RĪGAS FARMACEITISKĀ FABRIKA” Board</w:t>
      </w:r>
    </w:p>
    <w:p w:rsidR="00356411" w:rsidRPr="00DF6740" w:rsidRDefault="00356411" w:rsidP="00D7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56411" w:rsidRPr="00DF6740" w:rsidSect="00DF6740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9B3"/>
    <w:multiLevelType w:val="hybridMultilevel"/>
    <w:tmpl w:val="C63C9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F"/>
    <w:rsid w:val="00035DB1"/>
    <w:rsid w:val="00075079"/>
    <w:rsid w:val="00083CBB"/>
    <w:rsid w:val="000C7A3A"/>
    <w:rsid w:val="00150C1A"/>
    <w:rsid w:val="001B517C"/>
    <w:rsid w:val="00240E7C"/>
    <w:rsid w:val="00345CE7"/>
    <w:rsid w:val="00356411"/>
    <w:rsid w:val="003763BA"/>
    <w:rsid w:val="004114EC"/>
    <w:rsid w:val="00453A4A"/>
    <w:rsid w:val="00480412"/>
    <w:rsid w:val="004B4CDF"/>
    <w:rsid w:val="004C68F9"/>
    <w:rsid w:val="004F31DB"/>
    <w:rsid w:val="00514176"/>
    <w:rsid w:val="005D5BCD"/>
    <w:rsid w:val="0073436F"/>
    <w:rsid w:val="007745CA"/>
    <w:rsid w:val="0085414F"/>
    <w:rsid w:val="00885FAF"/>
    <w:rsid w:val="008C44E3"/>
    <w:rsid w:val="008D3125"/>
    <w:rsid w:val="009852A0"/>
    <w:rsid w:val="009C32E3"/>
    <w:rsid w:val="009C3AF2"/>
    <w:rsid w:val="00A516C3"/>
    <w:rsid w:val="00A75A7A"/>
    <w:rsid w:val="00AB6BDB"/>
    <w:rsid w:val="00AB6DB7"/>
    <w:rsid w:val="00AC57B6"/>
    <w:rsid w:val="00B065F2"/>
    <w:rsid w:val="00B5749E"/>
    <w:rsid w:val="00B74405"/>
    <w:rsid w:val="00CD3D51"/>
    <w:rsid w:val="00D30AC2"/>
    <w:rsid w:val="00D77DCD"/>
    <w:rsid w:val="00D906CB"/>
    <w:rsid w:val="00DA7925"/>
    <w:rsid w:val="00DF0353"/>
    <w:rsid w:val="00DF6740"/>
    <w:rsid w:val="00E30CD5"/>
    <w:rsid w:val="00E95DAB"/>
    <w:rsid w:val="00F24DEB"/>
    <w:rsid w:val="00F46CDF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2015-01-30T08:33:00Z</cp:lastPrinted>
  <dcterms:created xsi:type="dcterms:W3CDTF">2015-01-30T08:09:00Z</dcterms:created>
  <dcterms:modified xsi:type="dcterms:W3CDTF">2015-01-30T08:42:00Z</dcterms:modified>
</cp:coreProperties>
</file>