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6A" w:rsidRPr="0082726A" w:rsidRDefault="0082726A">
      <w:pPr>
        <w:pStyle w:val="Title"/>
      </w:pPr>
      <w:r>
        <w:rPr>
          <w:noProof/>
        </w:rPr>
        <w:drawing>
          <wp:anchor distT="0" distB="0" distL="114300" distR="114300" simplePos="0" relativeHeight="251658240" behindDoc="1" locked="0" layoutInCell="1" allowOverlap="1" wp14:anchorId="19C577B2" wp14:editId="478DAF12">
            <wp:simplePos x="0" y="0"/>
            <wp:positionH relativeFrom="page">
              <wp:posOffset>5399405</wp:posOffset>
            </wp:positionH>
            <wp:positionV relativeFrom="page">
              <wp:posOffset>2519680</wp:posOffset>
            </wp:positionV>
            <wp:extent cx="1908175" cy="1415415"/>
            <wp:effectExtent l="0" t="0" r="0" b="0"/>
            <wp:wrapNone/>
            <wp:docPr id="4" name="PressStamp" descr="\\nt1file01\j-drev$\microsoft\office2010\templateword\pressD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Stamp" descr="\\nt1file01\j-drev$\microsoft\office2010\templateword\pressD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t>Til redaktionen</w:t>
      </w:r>
    </w:p>
    <w:p w:rsidR="0082726A" w:rsidRPr="0082726A" w:rsidRDefault="0082726A"/>
    <w:p w:rsidR="0082726A" w:rsidRPr="0082726A" w:rsidRDefault="0082726A"/>
    <w:p w:rsidR="0082726A" w:rsidRPr="0082726A" w:rsidRDefault="0082726A"/>
    <w:p w:rsidR="0082726A" w:rsidRPr="0082726A" w:rsidRDefault="0082726A"/>
    <w:p w:rsidR="0082726A" w:rsidRPr="0082726A" w:rsidRDefault="0082726A"/>
    <w:p w:rsidR="0082726A" w:rsidRPr="0082726A" w:rsidRDefault="0082726A"/>
    <w:p w:rsidR="0082726A" w:rsidRPr="0082726A" w:rsidRDefault="0082726A"/>
    <w:p w:rsidR="0082726A" w:rsidRPr="0082726A" w:rsidRDefault="0082726A"/>
    <w:p w:rsidR="0082726A" w:rsidRDefault="0082726A">
      <w:pPr>
        <w:pStyle w:val="DateAndRef"/>
      </w:pPr>
      <w:r>
        <w:t xml:space="preserve">København, </w:t>
      </w:r>
      <w:bookmarkStart w:id="0" w:name="Dato"/>
      <w:r w:rsidR="00755D25">
        <w:fldChar w:fldCharType="begin">
          <w:ffData>
            <w:name w:val="Dato"/>
            <w:enabled/>
            <w:calcOnExit w:val="0"/>
            <w:textInput/>
          </w:ffData>
        </w:fldChar>
      </w:r>
      <w:r w:rsidR="00755D25">
        <w:instrText xml:space="preserve"> FORMTEXT </w:instrText>
      </w:r>
      <w:r w:rsidR="00755D25">
        <w:fldChar w:fldCharType="separate"/>
      </w:r>
      <w:bookmarkStart w:id="1" w:name="_GoBack"/>
      <w:r w:rsidR="00E35021">
        <w:rPr>
          <w:noProof/>
        </w:rPr>
        <w:t>2015-01-30</w:t>
      </w:r>
      <w:bookmarkEnd w:id="1"/>
      <w:r w:rsidR="00755D25">
        <w:fldChar w:fldCharType="end"/>
      </w:r>
      <w:bookmarkEnd w:id="0"/>
    </w:p>
    <w:p w:rsidR="0082726A" w:rsidRPr="0082726A" w:rsidRDefault="0082726A">
      <w:pPr>
        <w:pStyle w:val="DateAndRef"/>
      </w:pPr>
    </w:p>
    <w:p w:rsidR="0082726A" w:rsidRPr="0082726A" w:rsidRDefault="0082726A"/>
    <w:p w:rsidR="0082726A" w:rsidRPr="0082726A" w:rsidRDefault="0082726A"/>
    <w:p w:rsidR="0082726A" w:rsidRPr="0082726A" w:rsidRDefault="0082726A"/>
    <w:p w:rsidR="0082726A" w:rsidRPr="0082726A" w:rsidRDefault="0082726A"/>
    <w:bookmarkStart w:id="2" w:name="Overskrift"/>
    <w:p w:rsidR="0082726A" w:rsidRPr="0082726A" w:rsidRDefault="0033640E">
      <w:pPr>
        <w:pStyle w:val="Title2"/>
      </w:pPr>
      <w:r>
        <w:fldChar w:fldCharType="begin">
          <w:ffData>
            <w:name w:val="Overskrift"/>
            <w:enabled/>
            <w:calcOnExit w:val="0"/>
            <w:textInput>
              <w:default w:val="Insæt overskrift"/>
            </w:textInput>
          </w:ffData>
        </w:fldChar>
      </w:r>
      <w:r>
        <w:instrText xml:space="preserve"> FORMTEXT </w:instrText>
      </w:r>
      <w:r>
        <w:fldChar w:fldCharType="separate"/>
      </w:r>
      <w:r w:rsidR="00E35021" w:rsidRPr="00E35021">
        <w:rPr>
          <w:noProof/>
        </w:rPr>
        <w:t>Øget trafik og forbedret resultat</w:t>
      </w:r>
      <w:r>
        <w:fldChar w:fldCharType="end"/>
      </w:r>
      <w:bookmarkEnd w:id="2"/>
    </w:p>
    <w:p w:rsidR="0082726A" w:rsidRPr="0082726A" w:rsidRDefault="0082726A"/>
    <w:p w:rsidR="00755D25" w:rsidRDefault="00755D25">
      <w:pPr>
        <w:sectPr w:rsidR="00755D25" w:rsidSect="0033640E">
          <w:headerReference w:type="default" r:id="rId9"/>
          <w:footerReference w:type="default" r:id="rId10"/>
          <w:headerReference w:type="first" r:id="rId11"/>
          <w:footerReference w:type="first" r:id="rId12"/>
          <w:type w:val="continuous"/>
          <w:pgSz w:w="11906" w:h="16838" w:code="9"/>
          <w:pgMar w:top="2353" w:right="3175" w:bottom="1474" w:left="1701" w:header="709" w:footer="567" w:gutter="0"/>
          <w:paperSrc w:first="269" w:other="269"/>
          <w:cols w:space="720"/>
          <w:titlePg/>
          <w:docGrid w:linePitch="360"/>
        </w:sectPr>
      </w:pPr>
    </w:p>
    <w:p w:rsidR="00AD4AA6" w:rsidRDefault="00AD4AA6" w:rsidP="00E35021">
      <w:pPr>
        <w:rPr>
          <w:b/>
        </w:rPr>
      </w:pPr>
    </w:p>
    <w:p w:rsidR="00E35021" w:rsidRPr="00C40B71" w:rsidRDefault="00E35021" w:rsidP="00E35021">
      <w:pPr>
        <w:rPr>
          <w:rFonts w:ascii="Arial" w:hAnsi="Arial" w:cs="Arial"/>
          <w:b/>
          <w:sz w:val="20"/>
          <w:szCs w:val="20"/>
        </w:rPr>
      </w:pPr>
      <w:r w:rsidRPr="00C40B71">
        <w:rPr>
          <w:rFonts w:ascii="Arial" w:hAnsi="Arial" w:cs="Arial"/>
          <w:b/>
          <w:sz w:val="20"/>
          <w:szCs w:val="20"/>
        </w:rPr>
        <w:t xml:space="preserve">For første gang siden 2009 har Øresundsbron </w:t>
      </w:r>
      <w:r w:rsidR="00DF2702" w:rsidRPr="00C40B71">
        <w:rPr>
          <w:rFonts w:ascii="Arial" w:hAnsi="Arial" w:cs="Arial"/>
          <w:b/>
          <w:sz w:val="20"/>
          <w:szCs w:val="20"/>
        </w:rPr>
        <w:t xml:space="preserve">2014 </w:t>
      </w:r>
      <w:r w:rsidRPr="00C40B71">
        <w:rPr>
          <w:rFonts w:ascii="Arial" w:hAnsi="Arial" w:cs="Arial"/>
          <w:b/>
          <w:sz w:val="20"/>
          <w:szCs w:val="20"/>
        </w:rPr>
        <w:t>oplevet en stigning i den samlede vejtrafik. Resultatet før værdiregulering udgjorde DKK 783 millioner, en forbedring på DKK 186 mio i forhold til året før.</w:t>
      </w:r>
      <w:r w:rsidRPr="00C40B71">
        <w:rPr>
          <w:rFonts w:ascii="Arial" w:hAnsi="Arial" w:cs="Arial"/>
          <w:b/>
          <w:sz w:val="20"/>
          <w:szCs w:val="20"/>
        </w:rPr>
        <w:br/>
      </w:r>
    </w:p>
    <w:p w:rsidR="00E35021" w:rsidRPr="00C40B71" w:rsidRDefault="00E35021" w:rsidP="00E35021">
      <w:pPr>
        <w:rPr>
          <w:rFonts w:ascii="Arial" w:hAnsi="Arial" w:cs="Arial"/>
          <w:bCs/>
          <w:sz w:val="20"/>
          <w:szCs w:val="20"/>
        </w:rPr>
      </w:pPr>
      <w:r w:rsidRPr="00C40B71">
        <w:rPr>
          <w:rFonts w:ascii="Arial" w:hAnsi="Arial" w:cs="Arial"/>
          <w:bCs/>
          <w:sz w:val="20"/>
          <w:szCs w:val="20"/>
        </w:rPr>
        <w:t>Vejtrafikken på Øresundsbron steg med 3,4 procent i 2014, hvilket er den stø</w:t>
      </w:r>
      <w:r w:rsidRPr="00C40B71">
        <w:rPr>
          <w:rFonts w:ascii="Arial" w:hAnsi="Arial" w:cs="Arial"/>
          <w:bCs/>
          <w:sz w:val="20"/>
          <w:szCs w:val="20"/>
        </w:rPr>
        <w:t>r</w:t>
      </w:r>
      <w:r w:rsidRPr="00C40B71">
        <w:rPr>
          <w:rFonts w:ascii="Arial" w:hAnsi="Arial" w:cs="Arial"/>
          <w:bCs/>
          <w:sz w:val="20"/>
          <w:szCs w:val="20"/>
        </w:rPr>
        <w:t xml:space="preserve">ste trafikstigning i seks år, selv hvis man ser bort fra </w:t>
      </w:r>
      <w:r w:rsidR="0050568F" w:rsidRPr="00C40B71">
        <w:rPr>
          <w:rFonts w:ascii="Arial" w:hAnsi="Arial" w:cs="Arial"/>
          <w:bCs/>
          <w:sz w:val="20"/>
          <w:szCs w:val="20"/>
        </w:rPr>
        <w:t>effekten af strejken i juni 2014</w:t>
      </w:r>
      <w:r w:rsidRPr="00C40B71">
        <w:rPr>
          <w:rFonts w:ascii="Arial" w:hAnsi="Arial" w:cs="Arial"/>
          <w:bCs/>
          <w:sz w:val="20"/>
          <w:szCs w:val="20"/>
        </w:rPr>
        <w:t>.</w:t>
      </w:r>
      <w:r w:rsidR="0050568F" w:rsidRPr="00C40B71">
        <w:rPr>
          <w:rFonts w:ascii="Arial" w:hAnsi="Arial" w:cs="Arial"/>
          <w:bCs/>
          <w:sz w:val="20"/>
          <w:szCs w:val="20"/>
        </w:rPr>
        <w:br/>
      </w:r>
      <w:r w:rsidRPr="00C40B71">
        <w:rPr>
          <w:rFonts w:ascii="Arial" w:hAnsi="Arial" w:cs="Arial"/>
          <w:bCs/>
          <w:sz w:val="20"/>
          <w:szCs w:val="20"/>
        </w:rPr>
        <w:t xml:space="preserve"> </w:t>
      </w:r>
    </w:p>
    <w:p w:rsidR="00E35021" w:rsidRPr="00C40B71" w:rsidRDefault="00E35021" w:rsidP="00E35021">
      <w:pPr>
        <w:rPr>
          <w:rFonts w:ascii="Arial" w:hAnsi="Arial" w:cs="Arial"/>
          <w:bCs/>
          <w:sz w:val="20"/>
          <w:szCs w:val="20"/>
        </w:rPr>
      </w:pPr>
      <w:r w:rsidRPr="00C40B71">
        <w:rPr>
          <w:rFonts w:ascii="Arial" w:hAnsi="Arial" w:cs="Arial"/>
          <w:bCs/>
          <w:sz w:val="20"/>
          <w:szCs w:val="20"/>
        </w:rPr>
        <w:t xml:space="preserve">Udviklingen skyldes primært fritidstrafikken med BroPas, som er steget med 7,6 procent i perioden. I løbet af efteråret er den tilbagegang, som har præget pendlertrafikken de seneste år, aftaget. </w:t>
      </w:r>
      <w:r w:rsidR="0050568F" w:rsidRPr="00C40B71">
        <w:rPr>
          <w:rFonts w:ascii="Arial" w:hAnsi="Arial" w:cs="Arial"/>
          <w:bCs/>
          <w:sz w:val="20"/>
          <w:szCs w:val="20"/>
        </w:rPr>
        <w:t xml:space="preserve">Sidst på året ser der tilmed ud til at udviklingen er vendt, med øget pendling i fjerde kvartal. </w:t>
      </w:r>
      <w:r w:rsidRPr="00C40B71">
        <w:rPr>
          <w:rFonts w:ascii="Arial" w:hAnsi="Arial" w:cs="Arial"/>
          <w:bCs/>
          <w:sz w:val="20"/>
          <w:szCs w:val="20"/>
        </w:rPr>
        <w:t>Fragttrafikken fortsæ</w:t>
      </w:r>
      <w:r w:rsidRPr="00C40B71">
        <w:rPr>
          <w:rFonts w:ascii="Arial" w:hAnsi="Arial" w:cs="Arial"/>
          <w:bCs/>
          <w:sz w:val="20"/>
          <w:szCs w:val="20"/>
        </w:rPr>
        <w:t>t</w:t>
      </w:r>
      <w:r w:rsidRPr="00C40B71">
        <w:rPr>
          <w:rFonts w:ascii="Arial" w:hAnsi="Arial" w:cs="Arial"/>
          <w:bCs/>
          <w:sz w:val="20"/>
          <w:szCs w:val="20"/>
        </w:rPr>
        <w:t>ter med at stige, men i mindre grad end tidligere. Øresundsbrons andel af las</w:t>
      </w:r>
      <w:r w:rsidRPr="00C40B71">
        <w:rPr>
          <w:rFonts w:ascii="Arial" w:hAnsi="Arial" w:cs="Arial"/>
          <w:bCs/>
          <w:sz w:val="20"/>
          <w:szCs w:val="20"/>
        </w:rPr>
        <w:t>t</w:t>
      </w:r>
      <w:r w:rsidRPr="00C40B71">
        <w:rPr>
          <w:rFonts w:ascii="Arial" w:hAnsi="Arial" w:cs="Arial"/>
          <w:bCs/>
          <w:sz w:val="20"/>
          <w:szCs w:val="20"/>
        </w:rPr>
        <w:t xml:space="preserve">bilstrafik over Øresund udgjorde i 2014 53 procent. </w:t>
      </w:r>
      <w:r w:rsidRPr="00C40B71">
        <w:rPr>
          <w:rFonts w:ascii="Arial" w:hAnsi="Arial" w:cs="Arial"/>
          <w:bCs/>
          <w:sz w:val="20"/>
          <w:szCs w:val="20"/>
        </w:rPr>
        <w:br/>
      </w:r>
    </w:p>
    <w:p w:rsidR="00E35021" w:rsidRPr="00C40B71" w:rsidRDefault="00E35021" w:rsidP="00E35021">
      <w:pPr>
        <w:rPr>
          <w:rFonts w:ascii="Arial" w:hAnsi="Arial" w:cs="Arial"/>
          <w:sz w:val="20"/>
          <w:szCs w:val="20"/>
        </w:rPr>
      </w:pPr>
      <w:r w:rsidRPr="00C40B71">
        <w:rPr>
          <w:rFonts w:ascii="Arial" w:hAnsi="Arial" w:cs="Arial"/>
          <w:sz w:val="20"/>
          <w:szCs w:val="20"/>
        </w:rPr>
        <w:t xml:space="preserve">- Vi arbejder intensivt med at </w:t>
      </w:r>
      <w:r w:rsidR="0050568F" w:rsidRPr="00C40B71">
        <w:rPr>
          <w:rFonts w:ascii="Arial" w:hAnsi="Arial" w:cs="Arial"/>
          <w:sz w:val="20"/>
          <w:szCs w:val="20"/>
        </w:rPr>
        <w:t>gøre det lettere for</w:t>
      </w:r>
      <w:r w:rsidRPr="00C40B71">
        <w:rPr>
          <w:rFonts w:ascii="Arial" w:hAnsi="Arial" w:cs="Arial"/>
          <w:sz w:val="20"/>
          <w:szCs w:val="20"/>
        </w:rPr>
        <w:t xml:space="preserve"> folk til at tage over i fritiden, og det er vi haft god succes med. Vi ser først og fremmest, at det er de store, tr</w:t>
      </w:r>
      <w:r w:rsidRPr="00C40B71">
        <w:rPr>
          <w:rFonts w:ascii="Arial" w:hAnsi="Arial" w:cs="Arial"/>
          <w:sz w:val="20"/>
          <w:szCs w:val="20"/>
        </w:rPr>
        <w:t>a</w:t>
      </w:r>
      <w:r w:rsidRPr="00C40B71">
        <w:rPr>
          <w:rFonts w:ascii="Arial" w:hAnsi="Arial" w:cs="Arial"/>
          <w:sz w:val="20"/>
          <w:szCs w:val="20"/>
        </w:rPr>
        <w:t xml:space="preserve">ditionelle attraktioner, som lokker folk over sundet, siger Caroline Ullman-Hammer, administrerende direktør for Øresundsbro Konsortiet. </w:t>
      </w:r>
    </w:p>
    <w:p w:rsidR="00E35021" w:rsidRPr="00C40B71" w:rsidRDefault="00E35021" w:rsidP="00E35021">
      <w:pPr>
        <w:rPr>
          <w:rFonts w:ascii="Arial" w:hAnsi="Arial" w:cs="Arial"/>
          <w:sz w:val="20"/>
          <w:szCs w:val="20"/>
        </w:rPr>
      </w:pPr>
      <w:r w:rsidRPr="00C40B71">
        <w:rPr>
          <w:rFonts w:ascii="Arial" w:hAnsi="Arial" w:cs="Arial"/>
          <w:sz w:val="20"/>
          <w:szCs w:val="20"/>
        </w:rPr>
        <w:br/>
      </w: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highlight w:val="yellow"/>
        </w:rPr>
      </w:pPr>
      <w:r w:rsidRPr="00C40B71">
        <w:rPr>
          <w:rFonts w:ascii="Arial" w:hAnsi="Arial" w:cs="Arial"/>
          <w:sz w:val="20"/>
          <w:szCs w:val="20"/>
        </w:rPr>
        <w:lastRenderedPageBreak/>
        <w:t xml:space="preserve">Vejindtægterne steg til 1.211 millioner DKK, hvilket er en øgning på 68 millioner DKK sammenlignet med 2013. Indtægterne fra jernbanen, som er et fast beløb, der reguleres i takt med prisudviklingen, faldt noget på grund af justering af indeksreguleringen. </w:t>
      </w:r>
    </w:p>
    <w:p w:rsidR="00E35021" w:rsidRPr="00C40B71" w:rsidRDefault="00E35021" w:rsidP="00E35021">
      <w:pPr>
        <w:rPr>
          <w:rFonts w:ascii="Arial" w:hAnsi="Arial" w:cs="Arial"/>
          <w:sz w:val="20"/>
          <w:szCs w:val="20"/>
        </w:rPr>
      </w:pPr>
      <w:r w:rsidRPr="00C40B71">
        <w:rPr>
          <w:rFonts w:ascii="Arial" w:hAnsi="Arial" w:cs="Arial"/>
          <w:sz w:val="20"/>
          <w:szCs w:val="20"/>
        </w:rPr>
        <w:br/>
        <w:t xml:space="preserve">Driftsomkostningerne faldt noget. Resultatet før renter blev et overskud på 1.167 millioner DKK, hvilket er en forbedring med 68 millioner DKK. </w:t>
      </w:r>
    </w:p>
    <w:p w:rsidR="008521BB" w:rsidRPr="00C40B71" w:rsidRDefault="008521BB" w:rsidP="00E35021">
      <w:pPr>
        <w:rPr>
          <w:rFonts w:ascii="Arial" w:hAnsi="Arial" w:cs="Arial"/>
          <w:sz w:val="20"/>
          <w:szCs w:val="20"/>
        </w:rPr>
      </w:pPr>
    </w:p>
    <w:p w:rsidR="008521BB" w:rsidRPr="00C40B71" w:rsidRDefault="008521BB" w:rsidP="00E35021">
      <w:pPr>
        <w:rPr>
          <w:rFonts w:ascii="Arial" w:hAnsi="Arial" w:cs="Arial"/>
          <w:sz w:val="20"/>
          <w:szCs w:val="20"/>
        </w:rPr>
      </w:pPr>
      <w:r w:rsidRPr="00C40B71">
        <w:rPr>
          <w:rFonts w:ascii="Arial" w:hAnsi="Arial" w:cs="Arial"/>
          <w:sz w:val="20"/>
          <w:szCs w:val="20"/>
        </w:rPr>
        <w:t>Renteudgifterne faldt med DKK 118 mio til DKK 384 mio. Det skyldes primært gennemslag af de lavere renter, men også en mindre nettogæld og faldende inflation har bidraget positiv til udviklingen.</w:t>
      </w:r>
      <w:r w:rsidRPr="00C40B71">
        <w:rPr>
          <w:rFonts w:ascii="Arial" w:hAnsi="Arial" w:cs="Arial"/>
          <w:sz w:val="20"/>
          <w:szCs w:val="20"/>
        </w:rPr>
        <w:br/>
      </w:r>
    </w:p>
    <w:p w:rsidR="00E35021" w:rsidRPr="00C40B71" w:rsidRDefault="00E35021" w:rsidP="00E35021">
      <w:pPr>
        <w:rPr>
          <w:rFonts w:ascii="Arial" w:hAnsi="Arial" w:cs="Arial"/>
          <w:sz w:val="20"/>
          <w:szCs w:val="20"/>
        </w:rPr>
      </w:pPr>
      <w:r w:rsidRPr="00C40B71">
        <w:rPr>
          <w:rFonts w:ascii="Arial" w:hAnsi="Arial" w:cs="Arial"/>
          <w:sz w:val="20"/>
          <w:szCs w:val="20"/>
        </w:rPr>
        <w:t xml:space="preserve">Den rentebærende nettogæld faldt med </w:t>
      </w:r>
      <w:r w:rsidR="00DF2702" w:rsidRPr="00C40B71">
        <w:rPr>
          <w:rFonts w:ascii="Arial" w:hAnsi="Arial" w:cs="Arial"/>
          <w:sz w:val="20"/>
          <w:szCs w:val="20"/>
        </w:rPr>
        <w:t xml:space="preserve">1.611 </w:t>
      </w:r>
      <w:r w:rsidRPr="00C40B71">
        <w:rPr>
          <w:rFonts w:ascii="Arial" w:hAnsi="Arial" w:cs="Arial"/>
          <w:sz w:val="20"/>
          <w:szCs w:val="20"/>
        </w:rPr>
        <w:t>millioner DKK i perioden</w:t>
      </w:r>
      <w:r w:rsidR="008521BB" w:rsidRPr="00C40B71">
        <w:rPr>
          <w:rFonts w:ascii="Arial" w:hAnsi="Arial" w:cs="Arial"/>
          <w:sz w:val="20"/>
          <w:szCs w:val="20"/>
        </w:rPr>
        <w:t>.</w:t>
      </w:r>
      <w:r w:rsidRPr="00C40B71">
        <w:rPr>
          <w:rFonts w:ascii="Arial" w:hAnsi="Arial" w:cs="Arial"/>
          <w:sz w:val="20"/>
          <w:szCs w:val="20"/>
        </w:rPr>
        <w:t xml:space="preserve"> </w:t>
      </w:r>
    </w:p>
    <w:p w:rsidR="00E35021" w:rsidRPr="00C40B71" w:rsidRDefault="00E35021" w:rsidP="00E35021">
      <w:pPr>
        <w:rPr>
          <w:rFonts w:ascii="Arial" w:hAnsi="Arial" w:cs="Arial"/>
          <w:sz w:val="20"/>
          <w:szCs w:val="20"/>
        </w:rPr>
      </w:pPr>
      <w:r w:rsidRPr="00C40B71">
        <w:rPr>
          <w:rFonts w:ascii="Arial" w:hAnsi="Arial" w:cs="Arial"/>
          <w:sz w:val="20"/>
          <w:szCs w:val="20"/>
        </w:rPr>
        <w:br/>
        <w:t xml:space="preserve">Øresundsbro Konsortiets resultat før værdiregulering blev 783 millioner DKK, hvilket er en forbedring på 186 millioner DKK. </w:t>
      </w:r>
      <w:r w:rsidR="00AD4AA6" w:rsidRPr="00C40B71">
        <w:rPr>
          <w:rFonts w:ascii="Arial" w:hAnsi="Arial" w:cs="Arial"/>
          <w:sz w:val="20"/>
          <w:szCs w:val="20"/>
        </w:rPr>
        <w:br/>
      </w: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r w:rsidRPr="00C40B71">
        <w:rPr>
          <w:rFonts w:ascii="Arial" w:hAnsi="Arial" w:cs="Arial"/>
          <w:b/>
          <w:bCs/>
          <w:color w:val="333333"/>
          <w:sz w:val="20"/>
          <w:szCs w:val="20"/>
        </w:rPr>
        <w:t>Hovedposter i perioden januar-juni (millioner DKK)</w:t>
      </w:r>
    </w:p>
    <w:tbl>
      <w:tblPr>
        <w:tblStyle w:val="TableGrid"/>
        <w:tblW w:w="9118" w:type="dxa"/>
        <w:tblLook w:val="04A0" w:firstRow="1" w:lastRow="0" w:firstColumn="1" w:lastColumn="0" w:noHBand="0" w:noVBand="1"/>
      </w:tblPr>
      <w:tblGrid>
        <w:gridCol w:w="4479"/>
        <w:gridCol w:w="1801"/>
        <w:gridCol w:w="1721"/>
        <w:gridCol w:w="1117"/>
      </w:tblGrid>
      <w:tr w:rsidR="00E35021" w:rsidRPr="00C40B71" w:rsidTr="008E6CAD">
        <w:tc>
          <w:tcPr>
            <w:tcW w:w="4503" w:type="dxa"/>
          </w:tcPr>
          <w:p w:rsidR="00E35021" w:rsidRPr="00C40B71" w:rsidRDefault="00E35021" w:rsidP="008E6CAD">
            <w:pPr>
              <w:rPr>
                <w:rFonts w:ascii="Arial" w:hAnsi="Arial" w:cs="Arial"/>
                <w:sz w:val="20"/>
                <w:szCs w:val="20"/>
              </w:rPr>
            </w:pPr>
          </w:p>
        </w:tc>
        <w:tc>
          <w:tcPr>
            <w:tcW w:w="1812"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Jan – dec  2014</w:t>
            </w:r>
          </w:p>
        </w:tc>
        <w:tc>
          <w:tcPr>
            <w:tcW w:w="1731"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Jan – dec 2013</w:t>
            </w:r>
          </w:p>
        </w:tc>
        <w:tc>
          <w:tcPr>
            <w:tcW w:w="1072"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Udvikling</w:t>
            </w:r>
          </w:p>
        </w:tc>
      </w:tr>
      <w:tr w:rsidR="00E35021" w:rsidRPr="00C40B71" w:rsidTr="008E6CAD">
        <w:tc>
          <w:tcPr>
            <w:tcW w:w="4503" w:type="dxa"/>
          </w:tcPr>
          <w:p w:rsidR="00E35021" w:rsidRPr="00C40B71" w:rsidRDefault="00E35021" w:rsidP="008E6CAD">
            <w:pPr>
              <w:rPr>
                <w:rFonts w:ascii="Arial" w:hAnsi="Arial" w:cs="Arial"/>
                <w:sz w:val="20"/>
                <w:szCs w:val="20"/>
              </w:rPr>
            </w:pPr>
            <w:r w:rsidRPr="00C40B71">
              <w:rPr>
                <w:rFonts w:ascii="Arial" w:hAnsi="Arial" w:cs="Arial"/>
                <w:sz w:val="20"/>
                <w:szCs w:val="20"/>
              </w:rPr>
              <w:t>Indtægter vej</w:t>
            </w:r>
          </w:p>
        </w:tc>
        <w:tc>
          <w:tcPr>
            <w:tcW w:w="181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1.211</w:t>
            </w:r>
          </w:p>
        </w:tc>
        <w:tc>
          <w:tcPr>
            <w:tcW w:w="1731"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1.143</w:t>
            </w:r>
          </w:p>
        </w:tc>
        <w:tc>
          <w:tcPr>
            <w:tcW w:w="107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68</w:t>
            </w:r>
          </w:p>
        </w:tc>
      </w:tr>
      <w:tr w:rsidR="00E35021" w:rsidRPr="00C40B71" w:rsidTr="008E6CAD">
        <w:tc>
          <w:tcPr>
            <w:tcW w:w="4503" w:type="dxa"/>
          </w:tcPr>
          <w:p w:rsidR="00E35021" w:rsidRPr="00C40B71" w:rsidRDefault="00E35021" w:rsidP="008E6CAD">
            <w:pPr>
              <w:rPr>
                <w:rFonts w:ascii="Arial" w:hAnsi="Arial" w:cs="Arial"/>
                <w:sz w:val="20"/>
                <w:szCs w:val="20"/>
              </w:rPr>
            </w:pPr>
            <w:r w:rsidRPr="00C40B71">
              <w:rPr>
                <w:rFonts w:ascii="Arial" w:hAnsi="Arial" w:cs="Arial"/>
                <w:sz w:val="20"/>
                <w:szCs w:val="20"/>
              </w:rPr>
              <w:t>Indtægter jernbane</w:t>
            </w:r>
          </w:p>
        </w:tc>
        <w:tc>
          <w:tcPr>
            <w:tcW w:w="181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490</w:t>
            </w:r>
          </w:p>
        </w:tc>
        <w:tc>
          <w:tcPr>
            <w:tcW w:w="1731"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495</w:t>
            </w:r>
          </w:p>
        </w:tc>
        <w:tc>
          <w:tcPr>
            <w:tcW w:w="107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-5</w:t>
            </w:r>
          </w:p>
        </w:tc>
      </w:tr>
      <w:tr w:rsidR="00E35021" w:rsidRPr="00C40B71" w:rsidTr="008E6CAD">
        <w:tc>
          <w:tcPr>
            <w:tcW w:w="4503" w:type="dxa"/>
          </w:tcPr>
          <w:p w:rsidR="00E35021" w:rsidRPr="00C40B71" w:rsidRDefault="00E35021" w:rsidP="008E6CAD">
            <w:pPr>
              <w:rPr>
                <w:rFonts w:ascii="Arial" w:hAnsi="Arial" w:cs="Arial"/>
                <w:sz w:val="20"/>
                <w:szCs w:val="20"/>
              </w:rPr>
            </w:pPr>
            <w:r w:rsidRPr="00C40B71">
              <w:rPr>
                <w:rFonts w:ascii="Arial" w:hAnsi="Arial" w:cs="Arial"/>
                <w:sz w:val="20"/>
                <w:szCs w:val="20"/>
              </w:rPr>
              <w:t>Øvrige indtægter</w:t>
            </w:r>
          </w:p>
        </w:tc>
        <w:tc>
          <w:tcPr>
            <w:tcW w:w="181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21</w:t>
            </w:r>
          </w:p>
        </w:tc>
        <w:tc>
          <w:tcPr>
            <w:tcW w:w="1731"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22</w:t>
            </w:r>
          </w:p>
        </w:tc>
        <w:tc>
          <w:tcPr>
            <w:tcW w:w="107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-1</w:t>
            </w:r>
          </w:p>
        </w:tc>
      </w:tr>
      <w:tr w:rsidR="00E35021" w:rsidRPr="00C40B71" w:rsidTr="008E6CAD">
        <w:tc>
          <w:tcPr>
            <w:tcW w:w="4503" w:type="dxa"/>
          </w:tcPr>
          <w:p w:rsidR="00E35021" w:rsidRPr="00C40B71" w:rsidRDefault="00E35021" w:rsidP="008E6CAD">
            <w:pPr>
              <w:rPr>
                <w:rFonts w:ascii="Arial" w:hAnsi="Arial" w:cs="Arial"/>
                <w:b/>
                <w:sz w:val="20"/>
                <w:szCs w:val="20"/>
              </w:rPr>
            </w:pPr>
            <w:r w:rsidRPr="00C40B71">
              <w:rPr>
                <w:rFonts w:ascii="Arial" w:hAnsi="Arial" w:cs="Arial"/>
                <w:b/>
                <w:sz w:val="20"/>
                <w:szCs w:val="20"/>
              </w:rPr>
              <w:t>Indtægter i alt</w:t>
            </w:r>
          </w:p>
        </w:tc>
        <w:tc>
          <w:tcPr>
            <w:tcW w:w="1812"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1.722</w:t>
            </w:r>
          </w:p>
        </w:tc>
        <w:tc>
          <w:tcPr>
            <w:tcW w:w="1731"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1.660</w:t>
            </w:r>
          </w:p>
        </w:tc>
        <w:tc>
          <w:tcPr>
            <w:tcW w:w="1072"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62</w:t>
            </w:r>
          </w:p>
        </w:tc>
      </w:tr>
      <w:tr w:rsidR="00E35021" w:rsidRPr="00C40B71" w:rsidTr="008E6CAD">
        <w:tc>
          <w:tcPr>
            <w:tcW w:w="4503" w:type="dxa"/>
          </w:tcPr>
          <w:p w:rsidR="00E35021" w:rsidRPr="00C40B71" w:rsidRDefault="00E35021" w:rsidP="008E6CAD">
            <w:pPr>
              <w:rPr>
                <w:rFonts w:ascii="Arial" w:hAnsi="Arial" w:cs="Arial"/>
                <w:sz w:val="20"/>
                <w:szCs w:val="20"/>
              </w:rPr>
            </w:pPr>
            <w:r w:rsidRPr="00C40B71">
              <w:rPr>
                <w:rFonts w:ascii="Arial" w:hAnsi="Arial" w:cs="Arial"/>
                <w:sz w:val="20"/>
                <w:szCs w:val="20"/>
              </w:rPr>
              <w:t>Driftsomkostninger</w:t>
            </w:r>
          </w:p>
        </w:tc>
        <w:tc>
          <w:tcPr>
            <w:tcW w:w="181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-284</w:t>
            </w:r>
          </w:p>
        </w:tc>
        <w:tc>
          <w:tcPr>
            <w:tcW w:w="1731"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-291</w:t>
            </w:r>
          </w:p>
        </w:tc>
        <w:tc>
          <w:tcPr>
            <w:tcW w:w="107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7</w:t>
            </w:r>
          </w:p>
        </w:tc>
      </w:tr>
      <w:tr w:rsidR="00E35021" w:rsidRPr="00C40B71" w:rsidTr="008E6CAD">
        <w:tc>
          <w:tcPr>
            <w:tcW w:w="4503" w:type="dxa"/>
          </w:tcPr>
          <w:p w:rsidR="00E35021" w:rsidRPr="00C40B71" w:rsidRDefault="00E35021" w:rsidP="008E6CAD">
            <w:pPr>
              <w:rPr>
                <w:rFonts w:ascii="Arial" w:hAnsi="Arial" w:cs="Arial"/>
                <w:sz w:val="20"/>
                <w:szCs w:val="20"/>
              </w:rPr>
            </w:pPr>
            <w:r w:rsidRPr="00C40B71">
              <w:rPr>
                <w:rFonts w:ascii="Arial" w:hAnsi="Arial" w:cs="Arial"/>
                <w:sz w:val="20"/>
                <w:szCs w:val="20"/>
              </w:rPr>
              <w:t>Afskrivninger</w:t>
            </w:r>
          </w:p>
        </w:tc>
        <w:tc>
          <w:tcPr>
            <w:tcW w:w="181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-271</w:t>
            </w:r>
          </w:p>
        </w:tc>
        <w:tc>
          <w:tcPr>
            <w:tcW w:w="1731"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-270</w:t>
            </w:r>
          </w:p>
        </w:tc>
        <w:tc>
          <w:tcPr>
            <w:tcW w:w="107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-1</w:t>
            </w:r>
          </w:p>
        </w:tc>
      </w:tr>
      <w:tr w:rsidR="00E35021" w:rsidRPr="00C40B71" w:rsidTr="008E6CAD">
        <w:tc>
          <w:tcPr>
            <w:tcW w:w="4503" w:type="dxa"/>
          </w:tcPr>
          <w:p w:rsidR="00E35021" w:rsidRPr="00C40B71" w:rsidRDefault="00E35021" w:rsidP="008E6CAD">
            <w:pPr>
              <w:rPr>
                <w:rFonts w:ascii="Arial" w:hAnsi="Arial" w:cs="Arial"/>
                <w:b/>
                <w:sz w:val="20"/>
                <w:szCs w:val="20"/>
              </w:rPr>
            </w:pPr>
            <w:r w:rsidRPr="00C40B71">
              <w:rPr>
                <w:rFonts w:ascii="Arial" w:hAnsi="Arial" w:cs="Arial"/>
                <w:b/>
                <w:sz w:val="20"/>
                <w:szCs w:val="20"/>
              </w:rPr>
              <w:t>Resultat af primær drift</w:t>
            </w:r>
          </w:p>
        </w:tc>
        <w:tc>
          <w:tcPr>
            <w:tcW w:w="1812"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1.167</w:t>
            </w:r>
          </w:p>
        </w:tc>
        <w:tc>
          <w:tcPr>
            <w:tcW w:w="1731"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1.099</w:t>
            </w:r>
          </w:p>
        </w:tc>
        <w:tc>
          <w:tcPr>
            <w:tcW w:w="1072"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68</w:t>
            </w:r>
          </w:p>
        </w:tc>
      </w:tr>
      <w:tr w:rsidR="00E35021" w:rsidRPr="00C40B71" w:rsidTr="008E6CAD">
        <w:tc>
          <w:tcPr>
            <w:tcW w:w="4503" w:type="dxa"/>
          </w:tcPr>
          <w:p w:rsidR="00E35021" w:rsidRPr="00C40B71" w:rsidRDefault="00E35021" w:rsidP="008E6CAD">
            <w:pPr>
              <w:rPr>
                <w:rFonts w:ascii="Arial" w:hAnsi="Arial" w:cs="Arial"/>
                <w:sz w:val="20"/>
                <w:szCs w:val="20"/>
              </w:rPr>
            </w:pPr>
            <w:r w:rsidRPr="00C40B71">
              <w:rPr>
                <w:rFonts w:ascii="Arial" w:hAnsi="Arial" w:cs="Arial"/>
                <w:sz w:val="20"/>
                <w:szCs w:val="20"/>
              </w:rPr>
              <w:t>Finansielle poster</w:t>
            </w:r>
          </w:p>
        </w:tc>
        <w:tc>
          <w:tcPr>
            <w:tcW w:w="181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-384</w:t>
            </w:r>
          </w:p>
        </w:tc>
        <w:tc>
          <w:tcPr>
            <w:tcW w:w="1731"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-502</w:t>
            </w:r>
          </w:p>
        </w:tc>
        <w:tc>
          <w:tcPr>
            <w:tcW w:w="107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118</w:t>
            </w:r>
          </w:p>
        </w:tc>
      </w:tr>
      <w:tr w:rsidR="00E35021" w:rsidRPr="00C40B71" w:rsidTr="008E6CAD">
        <w:tc>
          <w:tcPr>
            <w:tcW w:w="4503" w:type="dxa"/>
          </w:tcPr>
          <w:p w:rsidR="00E35021" w:rsidRPr="00C40B71" w:rsidRDefault="00E35021" w:rsidP="008E6CAD">
            <w:pPr>
              <w:rPr>
                <w:rFonts w:ascii="Arial" w:hAnsi="Arial" w:cs="Arial"/>
                <w:b/>
                <w:sz w:val="20"/>
                <w:szCs w:val="20"/>
              </w:rPr>
            </w:pPr>
            <w:r w:rsidRPr="00C40B71">
              <w:rPr>
                <w:rFonts w:ascii="Arial" w:hAnsi="Arial" w:cs="Arial"/>
                <w:b/>
                <w:sz w:val="20"/>
                <w:szCs w:val="20"/>
              </w:rPr>
              <w:t>Resultat før værdireguleringer</w:t>
            </w:r>
          </w:p>
        </w:tc>
        <w:tc>
          <w:tcPr>
            <w:tcW w:w="1812"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783</w:t>
            </w:r>
          </w:p>
        </w:tc>
        <w:tc>
          <w:tcPr>
            <w:tcW w:w="1731"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597</w:t>
            </w:r>
          </w:p>
        </w:tc>
        <w:tc>
          <w:tcPr>
            <w:tcW w:w="1072"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186</w:t>
            </w:r>
          </w:p>
        </w:tc>
      </w:tr>
      <w:tr w:rsidR="00E35021" w:rsidRPr="00C40B71" w:rsidTr="008E6CAD">
        <w:tc>
          <w:tcPr>
            <w:tcW w:w="4503" w:type="dxa"/>
          </w:tcPr>
          <w:p w:rsidR="00E35021" w:rsidRPr="00C40B71" w:rsidRDefault="00E35021" w:rsidP="008E6CAD">
            <w:pPr>
              <w:rPr>
                <w:rFonts w:ascii="Arial" w:hAnsi="Arial" w:cs="Arial"/>
                <w:sz w:val="20"/>
                <w:szCs w:val="20"/>
              </w:rPr>
            </w:pPr>
            <w:r w:rsidRPr="00C40B71">
              <w:rPr>
                <w:rFonts w:ascii="Arial" w:hAnsi="Arial" w:cs="Arial"/>
                <w:sz w:val="20"/>
                <w:szCs w:val="20"/>
              </w:rPr>
              <w:t>Værdiregulering, dagsværdieffekt netto*</w:t>
            </w:r>
          </w:p>
        </w:tc>
        <w:tc>
          <w:tcPr>
            <w:tcW w:w="181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-849</w:t>
            </w:r>
          </w:p>
        </w:tc>
        <w:tc>
          <w:tcPr>
            <w:tcW w:w="1731"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1.356</w:t>
            </w:r>
          </w:p>
        </w:tc>
        <w:tc>
          <w:tcPr>
            <w:tcW w:w="1072" w:type="dxa"/>
          </w:tcPr>
          <w:p w:rsidR="00E35021" w:rsidRPr="00C40B71" w:rsidRDefault="00E35021" w:rsidP="008E6CAD">
            <w:pPr>
              <w:jc w:val="right"/>
              <w:rPr>
                <w:rFonts w:ascii="Arial" w:hAnsi="Arial" w:cs="Arial"/>
                <w:sz w:val="20"/>
                <w:szCs w:val="20"/>
              </w:rPr>
            </w:pPr>
          </w:p>
        </w:tc>
      </w:tr>
      <w:tr w:rsidR="00E35021" w:rsidRPr="00C40B71" w:rsidTr="008E6CAD">
        <w:tc>
          <w:tcPr>
            <w:tcW w:w="4503" w:type="dxa"/>
          </w:tcPr>
          <w:p w:rsidR="00E35021" w:rsidRPr="00C40B71" w:rsidRDefault="00E35021" w:rsidP="008E6CAD">
            <w:pPr>
              <w:rPr>
                <w:rFonts w:ascii="Arial" w:hAnsi="Arial" w:cs="Arial"/>
                <w:sz w:val="20"/>
                <w:szCs w:val="20"/>
              </w:rPr>
            </w:pPr>
            <w:r w:rsidRPr="00C40B71">
              <w:rPr>
                <w:rFonts w:ascii="Arial" w:hAnsi="Arial" w:cs="Arial"/>
                <w:sz w:val="20"/>
                <w:szCs w:val="20"/>
              </w:rPr>
              <w:t>Værdiregulering, valutakurseffekt netto*</w:t>
            </w:r>
          </w:p>
        </w:tc>
        <w:tc>
          <w:tcPr>
            <w:tcW w:w="1812"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178</w:t>
            </w:r>
          </w:p>
        </w:tc>
        <w:tc>
          <w:tcPr>
            <w:tcW w:w="1731" w:type="dxa"/>
          </w:tcPr>
          <w:p w:rsidR="00E35021" w:rsidRPr="00C40B71" w:rsidRDefault="00E35021" w:rsidP="008E6CAD">
            <w:pPr>
              <w:jc w:val="right"/>
              <w:rPr>
                <w:rFonts w:ascii="Arial" w:hAnsi="Arial" w:cs="Arial"/>
                <w:sz w:val="20"/>
                <w:szCs w:val="20"/>
              </w:rPr>
            </w:pPr>
            <w:r w:rsidRPr="00C40B71">
              <w:rPr>
                <w:rFonts w:ascii="Arial" w:hAnsi="Arial" w:cs="Arial"/>
                <w:sz w:val="20"/>
                <w:szCs w:val="20"/>
              </w:rPr>
              <w:t>125</w:t>
            </w:r>
          </w:p>
        </w:tc>
        <w:tc>
          <w:tcPr>
            <w:tcW w:w="1072" w:type="dxa"/>
          </w:tcPr>
          <w:p w:rsidR="00E35021" w:rsidRPr="00C40B71" w:rsidRDefault="00E35021" w:rsidP="008E6CAD">
            <w:pPr>
              <w:jc w:val="right"/>
              <w:rPr>
                <w:rFonts w:ascii="Arial" w:hAnsi="Arial" w:cs="Arial"/>
                <w:sz w:val="20"/>
                <w:szCs w:val="20"/>
              </w:rPr>
            </w:pPr>
          </w:p>
        </w:tc>
      </w:tr>
      <w:tr w:rsidR="00E35021" w:rsidRPr="00C40B71" w:rsidTr="008E6CAD">
        <w:tc>
          <w:tcPr>
            <w:tcW w:w="4503" w:type="dxa"/>
          </w:tcPr>
          <w:p w:rsidR="00E35021" w:rsidRPr="00C40B71" w:rsidRDefault="00E35021" w:rsidP="008E6CAD">
            <w:pPr>
              <w:rPr>
                <w:rFonts w:ascii="Arial" w:hAnsi="Arial" w:cs="Arial"/>
                <w:b/>
                <w:sz w:val="20"/>
                <w:szCs w:val="20"/>
              </w:rPr>
            </w:pPr>
            <w:r w:rsidRPr="00C40B71">
              <w:rPr>
                <w:rFonts w:ascii="Arial" w:hAnsi="Arial" w:cs="Arial"/>
                <w:b/>
                <w:sz w:val="20"/>
                <w:szCs w:val="20"/>
              </w:rPr>
              <w:t>Årets resultat</w:t>
            </w:r>
          </w:p>
        </w:tc>
        <w:tc>
          <w:tcPr>
            <w:tcW w:w="1812"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112</w:t>
            </w:r>
          </w:p>
        </w:tc>
        <w:tc>
          <w:tcPr>
            <w:tcW w:w="1731" w:type="dxa"/>
          </w:tcPr>
          <w:p w:rsidR="00E35021" w:rsidRPr="00C40B71" w:rsidRDefault="00E35021" w:rsidP="008E6CAD">
            <w:pPr>
              <w:jc w:val="right"/>
              <w:rPr>
                <w:rFonts w:ascii="Arial" w:hAnsi="Arial" w:cs="Arial"/>
                <w:b/>
                <w:sz w:val="20"/>
                <w:szCs w:val="20"/>
              </w:rPr>
            </w:pPr>
            <w:r w:rsidRPr="00C40B71">
              <w:rPr>
                <w:rFonts w:ascii="Arial" w:hAnsi="Arial" w:cs="Arial"/>
                <w:b/>
                <w:sz w:val="20"/>
                <w:szCs w:val="20"/>
              </w:rPr>
              <w:t>2.078</w:t>
            </w:r>
          </w:p>
        </w:tc>
        <w:tc>
          <w:tcPr>
            <w:tcW w:w="1072" w:type="dxa"/>
          </w:tcPr>
          <w:p w:rsidR="00E35021" w:rsidRPr="00C40B71" w:rsidRDefault="00E35021" w:rsidP="008E6CAD">
            <w:pPr>
              <w:jc w:val="right"/>
              <w:rPr>
                <w:rFonts w:ascii="Arial" w:hAnsi="Arial" w:cs="Arial"/>
                <w:b/>
                <w:sz w:val="20"/>
                <w:szCs w:val="20"/>
              </w:rPr>
            </w:pPr>
          </w:p>
        </w:tc>
      </w:tr>
    </w:tbl>
    <w:p w:rsidR="00E35021" w:rsidRPr="00C40B71" w:rsidRDefault="00E35021" w:rsidP="00E35021">
      <w:pPr>
        <w:rPr>
          <w:rFonts w:ascii="Arial" w:hAnsi="Arial" w:cs="Arial"/>
          <w:sz w:val="20"/>
          <w:szCs w:val="20"/>
        </w:rPr>
      </w:pPr>
      <w:r w:rsidRPr="00C40B71">
        <w:rPr>
          <w:rStyle w:val="Emphasis"/>
          <w:rFonts w:ascii="Arial" w:hAnsi="Arial" w:cs="Arial"/>
          <w:color w:val="333333"/>
          <w:sz w:val="20"/>
          <w:szCs w:val="20"/>
        </w:rPr>
        <w:t>* Værdiregulering er et regnskabsprincip, hvor finansielle aktiver og passiver løbende fastsættes til deres markedsværdi. Værdireguleringen fremgår af regnskabet under finansielle poster. Værdireguleringen påvirker ikke virkso</w:t>
      </w:r>
      <w:r w:rsidRPr="00C40B71">
        <w:rPr>
          <w:rStyle w:val="Emphasis"/>
          <w:rFonts w:ascii="Arial" w:hAnsi="Arial" w:cs="Arial"/>
          <w:color w:val="333333"/>
          <w:sz w:val="20"/>
          <w:szCs w:val="20"/>
        </w:rPr>
        <w:t>m</w:t>
      </w:r>
      <w:r w:rsidRPr="00C40B71">
        <w:rPr>
          <w:rStyle w:val="Emphasis"/>
          <w:rFonts w:ascii="Arial" w:hAnsi="Arial" w:cs="Arial"/>
          <w:color w:val="333333"/>
          <w:sz w:val="20"/>
          <w:szCs w:val="20"/>
        </w:rPr>
        <w:t>hedens evne til at tilbagebetale sin gæld.</w:t>
      </w:r>
    </w:p>
    <w:p w:rsidR="00E35021" w:rsidRPr="00C40B71" w:rsidRDefault="00E35021" w:rsidP="00E35021">
      <w:pPr>
        <w:rPr>
          <w:rFonts w:ascii="Arial" w:hAnsi="Arial" w:cs="Arial"/>
          <w:sz w:val="20"/>
          <w:szCs w:val="20"/>
        </w:rPr>
      </w:pPr>
    </w:p>
    <w:p w:rsidR="00E35021" w:rsidRPr="00C40B71" w:rsidRDefault="00E35021" w:rsidP="00E35021">
      <w:pPr>
        <w:rPr>
          <w:rFonts w:ascii="Arial" w:hAnsi="Arial" w:cs="Arial"/>
          <w:sz w:val="20"/>
          <w:szCs w:val="20"/>
        </w:rPr>
      </w:pPr>
    </w:p>
    <w:p w:rsidR="00E35021" w:rsidRPr="00C40B71" w:rsidRDefault="00E35021" w:rsidP="00E35021">
      <w:pPr>
        <w:spacing w:before="100" w:beforeAutospacing="1" w:after="100" w:afterAutospacing="1" w:line="336" w:lineRule="auto"/>
        <w:outlineLvl w:val="2"/>
        <w:rPr>
          <w:rFonts w:ascii="Arial" w:hAnsi="Arial" w:cs="Arial"/>
          <w:b/>
          <w:bCs/>
          <w:color w:val="333333"/>
          <w:sz w:val="20"/>
          <w:szCs w:val="20"/>
        </w:rPr>
      </w:pPr>
    </w:p>
    <w:p w:rsidR="00E35021" w:rsidRPr="00C40B71" w:rsidRDefault="00E35021" w:rsidP="00E35021">
      <w:pPr>
        <w:spacing w:before="100" w:beforeAutospacing="1" w:after="100" w:afterAutospacing="1" w:line="336" w:lineRule="auto"/>
        <w:outlineLvl w:val="2"/>
        <w:rPr>
          <w:rFonts w:ascii="Arial" w:hAnsi="Arial" w:cs="Arial"/>
          <w:b/>
          <w:bCs/>
          <w:color w:val="333333"/>
          <w:sz w:val="20"/>
          <w:szCs w:val="20"/>
        </w:rPr>
      </w:pPr>
    </w:p>
    <w:p w:rsidR="00E35021" w:rsidRPr="00C40B71" w:rsidRDefault="00E35021" w:rsidP="00E35021">
      <w:pPr>
        <w:spacing w:before="100" w:beforeAutospacing="1" w:after="100" w:afterAutospacing="1" w:line="336" w:lineRule="auto"/>
        <w:outlineLvl w:val="2"/>
        <w:rPr>
          <w:rFonts w:ascii="Arial" w:hAnsi="Arial" w:cs="Arial"/>
          <w:b/>
          <w:bCs/>
          <w:color w:val="333333"/>
          <w:sz w:val="20"/>
          <w:szCs w:val="20"/>
        </w:rPr>
      </w:pPr>
    </w:p>
    <w:p w:rsidR="00E35021" w:rsidRPr="00C40B71" w:rsidRDefault="00E35021" w:rsidP="00E35021">
      <w:pPr>
        <w:spacing w:before="100" w:beforeAutospacing="1" w:after="100" w:afterAutospacing="1" w:line="336" w:lineRule="auto"/>
        <w:outlineLvl w:val="2"/>
        <w:rPr>
          <w:rFonts w:ascii="Arial" w:hAnsi="Arial" w:cs="Arial"/>
          <w:b/>
          <w:bCs/>
          <w:color w:val="333333"/>
          <w:sz w:val="20"/>
          <w:szCs w:val="20"/>
        </w:rPr>
      </w:pPr>
    </w:p>
    <w:p w:rsidR="00E35021" w:rsidRPr="00C40B71" w:rsidRDefault="00E35021" w:rsidP="00AD4AA6">
      <w:pPr>
        <w:spacing w:before="100" w:beforeAutospacing="1" w:after="100" w:afterAutospacing="1" w:line="336" w:lineRule="auto"/>
        <w:outlineLvl w:val="2"/>
        <w:rPr>
          <w:rFonts w:ascii="Arial" w:hAnsi="Arial" w:cs="Arial"/>
          <w:b/>
          <w:bCs/>
          <w:color w:val="333333"/>
          <w:sz w:val="20"/>
          <w:szCs w:val="20"/>
        </w:rPr>
      </w:pPr>
      <w:r w:rsidRPr="00C40B71">
        <w:rPr>
          <w:rFonts w:ascii="Arial" w:hAnsi="Arial" w:cs="Arial"/>
          <w:b/>
          <w:bCs/>
          <w:color w:val="333333"/>
          <w:sz w:val="20"/>
          <w:szCs w:val="20"/>
        </w:rPr>
        <w:t>Vejtrafikken på Øresundsbron 2013 og 2014</w:t>
      </w:r>
    </w:p>
    <w:tbl>
      <w:tblPr>
        <w:tblW w:w="4126"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81"/>
        <w:gridCol w:w="792"/>
        <w:gridCol w:w="792"/>
        <w:gridCol w:w="992"/>
        <w:gridCol w:w="1437"/>
        <w:gridCol w:w="1437"/>
      </w:tblGrid>
      <w:tr w:rsidR="00D35DC1" w:rsidRPr="00C40B71" w:rsidTr="00D35DC1">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rPr>
                <w:rFonts w:ascii="Arial" w:hAnsi="Arial" w:cs="Arial"/>
                <w:color w:val="000000"/>
                <w:sz w:val="20"/>
                <w:szCs w:val="20"/>
              </w:rPr>
            </w:pPr>
            <w:r w:rsidRPr="00C40B71">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xml:space="preserve">Trafik per </w:t>
            </w:r>
            <w:r w:rsidRPr="00C40B71">
              <w:rPr>
                <w:rFonts w:ascii="Arial" w:hAnsi="Arial" w:cs="Arial"/>
                <w:color w:val="000000"/>
                <w:sz w:val="20"/>
                <w:szCs w:val="20"/>
              </w:rPr>
              <w:lastRenderedPageBreak/>
              <w:t>dag 2014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lastRenderedPageBreak/>
              <w:t xml:space="preserve">Trafik per </w:t>
            </w:r>
            <w:r w:rsidRPr="00C40B71">
              <w:rPr>
                <w:rFonts w:ascii="Arial" w:hAnsi="Arial" w:cs="Arial"/>
                <w:color w:val="000000"/>
                <w:sz w:val="20"/>
                <w:szCs w:val="20"/>
              </w:rPr>
              <w:lastRenderedPageBreak/>
              <w:t>dag 2013*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lastRenderedPageBreak/>
              <w:t>Udvikling trafik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Markedsandel 2014**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Markedsandel 2013**</w:t>
            </w:r>
          </w:p>
        </w:tc>
      </w:tr>
      <w:tr w:rsidR="00D35DC1" w:rsidRPr="00C40B71" w:rsidTr="00D35DC1">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rPr>
                <w:rFonts w:ascii="Arial" w:hAnsi="Arial" w:cs="Arial"/>
                <w:color w:val="000000"/>
                <w:sz w:val="20"/>
                <w:szCs w:val="20"/>
              </w:rPr>
            </w:pPr>
            <w:r w:rsidRPr="00C40B71">
              <w:rPr>
                <w:rFonts w:ascii="Arial" w:hAnsi="Arial" w:cs="Arial"/>
                <w:color w:val="000000"/>
                <w:sz w:val="20"/>
                <w:szCs w:val="20"/>
              </w:rPr>
              <w:lastRenderedPageBreak/>
              <w:t>Kontant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3.712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3.684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0,8 %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w:t>
            </w:r>
          </w:p>
        </w:tc>
      </w:tr>
      <w:tr w:rsidR="00D35DC1" w:rsidRPr="00C40B71" w:rsidTr="00D35DC1">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rPr>
                <w:rFonts w:ascii="Arial" w:hAnsi="Arial" w:cs="Arial"/>
                <w:color w:val="000000"/>
                <w:sz w:val="20"/>
                <w:szCs w:val="20"/>
              </w:rPr>
            </w:pPr>
            <w:r w:rsidRPr="00C40B71">
              <w:rPr>
                <w:rFonts w:ascii="Arial" w:hAnsi="Arial" w:cs="Arial"/>
                <w:color w:val="000000"/>
                <w:sz w:val="20"/>
                <w:szCs w:val="20"/>
              </w:rPr>
              <w:t>BroPas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5.382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5.003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7,6 %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w:t>
            </w:r>
          </w:p>
        </w:tc>
      </w:tr>
      <w:tr w:rsidR="00D35DC1" w:rsidRPr="00C40B71" w:rsidTr="00D35DC1">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rPr>
                <w:rFonts w:ascii="Arial" w:hAnsi="Arial" w:cs="Arial"/>
                <w:color w:val="000000"/>
                <w:sz w:val="20"/>
                <w:szCs w:val="20"/>
              </w:rPr>
            </w:pPr>
            <w:r w:rsidRPr="00C40B71">
              <w:rPr>
                <w:rFonts w:ascii="Arial" w:hAnsi="Arial" w:cs="Arial"/>
                <w:b/>
                <w:bCs/>
                <w:color w:val="000000"/>
                <w:sz w:val="20"/>
                <w:szCs w:val="20"/>
              </w:rPr>
              <w:t>Pendler</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5.818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5.879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- 1,0 %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w:t>
            </w:r>
          </w:p>
        </w:tc>
      </w:tr>
      <w:tr w:rsidR="00D35DC1" w:rsidRPr="00C40B71" w:rsidTr="00D35DC1">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rPr>
                <w:rFonts w:ascii="Arial" w:hAnsi="Arial" w:cs="Arial"/>
                <w:color w:val="000000"/>
                <w:sz w:val="20"/>
                <w:szCs w:val="20"/>
              </w:rPr>
            </w:pPr>
            <w:r w:rsidRPr="00C40B71">
              <w:rPr>
                <w:rFonts w:ascii="Arial" w:hAnsi="Arial" w:cs="Arial"/>
                <w:b/>
                <w:bCs/>
                <w:color w:val="000000"/>
                <w:sz w:val="20"/>
                <w:szCs w:val="20"/>
              </w:rPr>
              <w:t>Business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2.758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2.557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7,9 %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 </w:t>
            </w:r>
          </w:p>
        </w:tc>
      </w:tr>
      <w:tr w:rsidR="00D35DC1" w:rsidRPr="00C40B71" w:rsidTr="00D35DC1">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rPr>
                <w:rFonts w:ascii="Arial" w:hAnsi="Arial" w:cs="Arial"/>
                <w:color w:val="000000"/>
                <w:sz w:val="20"/>
                <w:szCs w:val="20"/>
              </w:rPr>
            </w:pPr>
            <w:r w:rsidRPr="00C40B71">
              <w:rPr>
                <w:rFonts w:ascii="Arial" w:hAnsi="Arial" w:cs="Arial"/>
                <w:b/>
                <w:bCs/>
                <w:color w:val="000000"/>
                <w:sz w:val="20"/>
                <w:szCs w:val="20"/>
              </w:rPr>
              <w:t>Personbiler totalt*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17.671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17.122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3,4 %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82,0 %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81,3%</w:t>
            </w:r>
          </w:p>
        </w:tc>
      </w:tr>
      <w:tr w:rsidR="00D35DC1" w:rsidRPr="00C40B71" w:rsidTr="00D35DC1">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rPr>
                <w:rFonts w:ascii="Arial" w:hAnsi="Arial" w:cs="Arial"/>
                <w:color w:val="000000"/>
                <w:sz w:val="20"/>
                <w:szCs w:val="20"/>
              </w:rPr>
            </w:pPr>
            <w:r w:rsidRPr="00C40B71">
              <w:rPr>
                <w:rFonts w:ascii="Arial" w:hAnsi="Arial" w:cs="Arial"/>
                <w:b/>
                <w:bCs/>
                <w:color w:val="000000"/>
                <w:sz w:val="20"/>
                <w:szCs w:val="20"/>
              </w:rPr>
              <w:t>Lastbiler</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1.155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1.102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4,8 %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53,1 %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53,4%</w:t>
            </w:r>
          </w:p>
        </w:tc>
      </w:tr>
      <w:tr w:rsidR="00D35DC1" w:rsidRPr="00C40B71" w:rsidTr="00D35DC1">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rPr>
                <w:rFonts w:ascii="Arial" w:hAnsi="Arial" w:cs="Arial"/>
                <w:color w:val="000000"/>
                <w:sz w:val="20"/>
                <w:szCs w:val="20"/>
              </w:rPr>
            </w:pPr>
            <w:r w:rsidRPr="00C40B71">
              <w:rPr>
                <w:rFonts w:ascii="Arial" w:hAnsi="Arial" w:cs="Arial"/>
                <w:b/>
                <w:bCs/>
                <w:color w:val="000000"/>
                <w:sz w:val="20"/>
                <w:szCs w:val="20"/>
              </w:rPr>
              <w:t>Busser</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138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113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22,6 %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72,0 %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64,9%</w:t>
            </w:r>
          </w:p>
        </w:tc>
      </w:tr>
      <w:tr w:rsidR="00D35DC1" w:rsidRPr="00C40B71" w:rsidTr="00D35DC1">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rPr>
                <w:rFonts w:ascii="Arial" w:hAnsi="Arial" w:cs="Arial"/>
                <w:color w:val="000000"/>
                <w:sz w:val="20"/>
                <w:szCs w:val="20"/>
              </w:rPr>
            </w:pPr>
            <w:r w:rsidRPr="00C40B71">
              <w:rPr>
                <w:rFonts w:ascii="Arial" w:hAnsi="Arial" w:cs="Arial"/>
                <w:b/>
                <w:bCs/>
                <w:color w:val="000000"/>
                <w:sz w:val="20"/>
                <w:szCs w:val="20"/>
              </w:rPr>
              <w:t>Total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18.964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18.337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3,4 %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79,4 %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5DC1" w:rsidRPr="00C40B71" w:rsidRDefault="00D35DC1" w:rsidP="008E6CAD">
            <w:pPr>
              <w:jc w:val="right"/>
              <w:rPr>
                <w:rFonts w:ascii="Arial" w:hAnsi="Arial" w:cs="Arial"/>
                <w:color w:val="000000"/>
                <w:sz w:val="20"/>
                <w:szCs w:val="20"/>
              </w:rPr>
            </w:pPr>
            <w:r w:rsidRPr="00C40B71">
              <w:rPr>
                <w:rFonts w:ascii="Arial" w:hAnsi="Arial" w:cs="Arial"/>
                <w:color w:val="000000"/>
                <w:sz w:val="20"/>
                <w:szCs w:val="20"/>
              </w:rPr>
              <w:t>78,7%</w:t>
            </w:r>
          </w:p>
        </w:tc>
      </w:tr>
    </w:tbl>
    <w:p w:rsidR="00E35021" w:rsidRPr="00C40B71" w:rsidRDefault="00E35021" w:rsidP="00E35021">
      <w:pPr>
        <w:spacing w:before="75" w:after="75" w:line="336" w:lineRule="auto"/>
        <w:rPr>
          <w:rFonts w:ascii="Arial" w:hAnsi="Arial" w:cs="Arial"/>
          <w:color w:val="333333"/>
          <w:sz w:val="20"/>
          <w:szCs w:val="20"/>
        </w:rPr>
      </w:pPr>
      <w:r w:rsidRPr="00C40B71">
        <w:rPr>
          <w:rFonts w:ascii="Arial" w:hAnsi="Arial" w:cs="Arial"/>
          <w:i/>
          <w:iCs/>
          <w:color w:val="333333"/>
          <w:sz w:val="20"/>
          <w:szCs w:val="20"/>
        </w:rPr>
        <w:t>* Kategorien omfatter også personbiler med anhænger samt varebiler og m</w:t>
      </w:r>
      <w:r w:rsidRPr="00C40B71">
        <w:rPr>
          <w:rFonts w:ascii="Arial" w:hAnsi="Arial" w:cs="Arial"/>
          <w:i/>
          <w:iCs/>
          <w:color w:val="333333"/>
          <w:sz w:val="20"/>
          <w:szCs w:val="20"/>
        </w:rPr>
        <w:t>o</w:t>
      </w:r>
      <w:r w:rsidRPr="00C40B71">
        <w:rPr>
          <w:rFonts w:ascii="Arial" w:hAnsi="Arial" w:cs="Arial"/>
          <w:i/>
          <w:iCs/>
          <w:color w:val="333333"/>
          <w:sz w:val="20"/>
          <w:szCs w:val="20"/>
        </w:rPr>
        <w:t xml:space="preserve">torcykler. </w:t>
      </w:r>
      <w:r w:rsidRPr="00C40B71">
        <w:rPr>
          <w:rFonts w:ascii="Arial" w:hAnsi="Arial" w:cs="Arial"/>
          <w:i/>
          <w:iCs/>
          <w:color w:val="333333"/>
          <w:sz w:val="20"/>
          <w:szCs w:val="20"/>
        </w:rPr>
        <w:br/>
        <w:t>** Markedsandelene gælder perioden januar-november.</w:t>
      </w:r>
    </w:p>
    <w:p w:rsidR="00E35021" w:rsidRPr="00891B2C" w:rsidRDefault="00E35021" w:rsidP="00E35021"/>
    <w:p w:rsidR="0082726A" w:rsidRDefault="0082726A"/>
    <w:p w:rsidR="0033640E" w:rsidRPr="0082726A" w:rsidRDefault="0033640E"/>
    <w:p w:rsidR="0082726A" w:rsidRPr="0082726A" w:rsidRDefault="0082726A"/>
    <w:p w:rsidR="0033640E" w:rsidRDefault="0033640E"/>
    <w:p w:rsidR="0082726A" w:rsidRPr="0082726A" w:rsidRDefault="0082726A">
      <w:r>
        <w:t>Med venlig hilsen</w:t>
      </w:r>
    </w:p>
    <w:p w:rsidR="0082726A" w:rsidRPr="0082726A" w:rsidRDefault="0082726A">
      <w:pPr>
        <w:rPr>
          <w:b/>
        </w:rPr>
      </w:pPr>
      <w:r w:rsidRPr="0082726A">
        <w:rPr>
          <w:b/>
        </w:rPr>
        <w:t>Øresundsbro Konsortiet</w:t>
      </w:r>
    </w:p>
    <w:p w:rsidR="0082726A" w:rsidRPr="0082726A" w:rsidRDefault="0082726A"/>
    <w:p w:rsidR="0082726A" w:rsidRPr="0082726A" w:rsidRDefault="0082726A"/>
    <w:p w:rsidR="00621C97" w:rsidRPr="0082726A" w:rsidRDefault="00621C97" w:rsidP="0082726A"/>
    <w:sectPr w:rsidR="00621C97" w:rsidRPr="0082726A" w:rsidSect="0033640E">
      <w:type w:val="continuous"/>
      <w:pgSz w:w="11906" w:h="16838" w:code="9"/>
      <w:pgMar w:top="2353" w:right="3175" w:bottom="1474" w:left="1701" w:header="709" w:footer="567" w:gutter="0"/>
      <w:paperSrc w:first="269" w:other="269"/>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21" w:rsidRDefault="00E35021">
      <w:r>
        <w:separator/>
      </w:r>
    </w:p>
  </w:endnote>
  <w:endnote w:type="continuationSeparator" w:id="0">
    <w:p w:rsidR="00E35021" w:rsidRDefault="00E3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90" w:rsidRDefault="0082726A">
    <w:pPr>
      <w:pStyle w:val="Footer"/>
    </w:pPr>
    <w:r>
      <w:tab/>
    </w:r>
    <w:r>
      <w:tab/>
    </w:r>
    <w:r>
      <w:fldChar w:fldCharType="begin"/>
    </w:r>
    <w:r>
      <w:instrText xml:space="preserve"> PAGE \* Arabic \* MERGEFORMAT </w:instrText>
    </w:r>
    <w:r>
      <w:fldChar w:fldCharType="separate"/>
    </w:r>
    <w:r w:rsidR="00142D4E">
      <w:rPr>
        <w:noProof/>
      </w:rPr>
      <w:t>3</w:t>
    </w:r>
    <w:r>
      <w:fldChar w:fldCharType="end"/>
    </w:r>
    <w:r>
      <w:t>:</w:t>
    </w:r>
    <w:r w:rsidR="00142D4E">
      <w:fldChar w:fldCharType="begin"/>
    </w:r>
    <w:r w:rsidR="00142D4E">
      <w:instrText xml:space="preserve"> NUMPAGES \* Arabic \*</w:instrText>
    </w:r>
    <w:r w:rsidR="00142D4E">
      <w:instrText xml:space="preserve"> MERGEFORMAT </w:instrText>
    </w:r>
    <w:r w:rsidR="00142D4E">
      <w:fldChar w:fldCharType="separate"/>
    </w:r>
    <w:r w:rsidR="00142D4E">
      <w:rPr>
        <w:noProof/>
      </w:rPr>
      <w:t>3</w:t>
    </w:r>
    <w:r w:rsidR="00142D4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84" w:rsidRDefault="00530984">
    <w:pPr>
      <w:pStyle w:val="Footer"/>
    </w:pPr>
    <w:r>
      <w:t>Dato:</w:t>
    </w:r>
    <w:r>
      <w:tab/>
    </w:r>
    <w:fldSimple w:instr=" DOCPROPERTY  DokDato  \* MERGEFORMAT ">
      <w:r w:rsidR="00E35021">
        <w:t>14. januar 2015</w:t>
      </w:r>
    </w:fldSimple>
  </w:p>
  <w:p w:rsidR="00B22490" w:rsidRDefault="0082726A">
    <w:pPr>
      <w:pStyle w:val="Footer"/>
    </w:pPr>
    <w:r>
      <w:rPr>
        <w:noProof/>
      </w:rPr>
      <w:drawing>
        <wp:anchor distT="0" distB="0" distL="114300" distR="114300" simplePos="0" relativeHeight="251659264" behindDoc="0" locked="0" layoutInCell="1" allowOverlap="1" wp14:anchorId="5950B811" wp14:editId="08B25266">
          <wp:simplePos x="0" y="0"/>
          <wp:positionH relativeFrom="page">
            <wp:posOffset>5831840</wp:posOffset>
          </wp:positionH>
          <wp:positionV relativeFrom="page">
            <wp:posOffset>7667625</wp:posOffset>
          </wp:positionV>
          <wp:extent cx="1356995" cy="2625725"/>
          <wp:effectExtent l="0" t="0" r="0" b="3175"/>
          <wp:wrapNone/>
          <wp:docPr id="10" name="Address" descr="\\nt1file01\j-drev$\microsoft\office2010\templateword\alma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descr="\\nt1file01\j-drev$\microsoft\office2010\templateword\almad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984">
      <w:t>Ref.:</w:t>
    </w:r>
    <w:r>
      <w:tab/>
    </w:r>
    <w:fldSimple w:instr=" DOCPROPERTY  Initialer  \* MERGEFORMAT ">
      <w:r w:rsidR="00E35021">
        <w:t>Initialer</w:t>
      </w:r>
    </w:fldSimple>
    <w:r>
      <w:tab/>
    </w:r>
    <w:r>
      <w:fldChar w:fldCharType="begin"/>
    </w:r>
    <w:r>
      <w:instrText xml:space="preserve"> PAGE \* Arabic \* MERGEFORMAT </w:instrText>
    </w:r>
    <w:r>
      <w:fldChar w:fldCharType="separate"/>
    </w:r>
    <w:r w:rsidR="00142D4E">
      <w:rPr>
        <w:noProof/>
      </w:rPr>
      <w:t>1</w:t>
    </w:r>
    <w:r>
      <w:fldChar w:fldCharType="end"/>
    </w:r>
    <w:r>
      <w:t>:</w:t>
    </w:r>
    <w:r w:rsidR="00142D4E">
      <w:fldChar w:fldCharType="begin"/>
    </w:r>
    <w:r w:rsidR="00142D4E">
      <w:instrText xml:space="preserve"> NUMPAGES \* Arabic \* MERGEFORMAT </w:instrText>
    </w:r>
    <w:r w:rsidR="00142D4E">
      <w:fldChar w:fldCharType="separate"/>
    </w:r>
    <w:r w:rsidR="00142D4E">
      <w:rPr>
        <w:noProof/>
      </w:rPr>
      <w:t>3</w:t>
    </w:r>
    <w:r w:rsidR="00142D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21" w:rsidRDefault="00E35021">
      <w:r>
        <w:separator/>
      </w:r>
    </w:p>
  </w:footnote>
  <w:footnote w:type="continuationSeparator" w:id="0">
    <w:p w:rsidR="00E35021" w:rsidRDefault="00E3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90" w:rsidRDefault="0082726A">
    <w:pPr>
      <w:pStyle w:val="Header"/>
    </w:pPr>
    <w:r>
      <w:rPr>
        <w:noProof/>
      </w:rPr>
      <w:drawing>
        <wp:anchor distT="0" distB="0" distL="114300" distR="114300" simplePos="0" relativeHeight="251660288" behindDoc="0" locked="0" layoutInCell="1" allowOverlap="1" wp14:anchorId="421BEA8C" wp14:editId="4401D9EC">
          <wp:simplePos x="0" y="0"/>
          <wp:positionH relativeFrom="page">
            <wp:posOffset>5039995</wp:posOffset>
          </wp:positionH>
          <wp:positionV relativeFrom="page">
            <wp:posOffset>431800</wp:posOffset>
          </wp:positionV>
          <wp:extent cx="2098040" cy="414020"/>
          <wp:effectExtent l="0" t="0" r="0" b="5080"/>
          <wp:wrapNone/>
          <wp:docPr id="8" name="Logo1" descr="\\nt1file01\j-drev$\microsoft\office2010\templatew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nt1file01\j-drev$\microsoft\office2010\templatewor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414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90" w:rsidRDefault="0082726A">
    <w:pPr>
      <w:pStyle w:val="Header"/>
    </w:pPr>
    <w:r>
      <w:rPr>
        <w:noProof/>
      </w:rPr>
      <w:drawing>
        <wp:anchor distT="0" distB="0" distL="114300" distR="114300" simplePos="0" relativeHeight="251658240" behindDoc="0" locked="0" layoutInCell="1" allowOverlap="1" wp14:anchorId="1611FD24" wp14:editId="4B290FB7">
          <wp:simplePos x="0" y="0"/>
          <wp:positionH relativeFrom="page">
            <wp:posOffset>5039995</wp:posOffset>
          </wp:positionH>
          <wp:positionV relativeFrom="page">
            <wp:posOffset>431800</wp:posOffset>
          </wp:positionV>
          <wp:extent cx="2098040" cy="414020"/>
          <wp:effectExtent l="0" t="0" r="0" b="5080"/>
          <wp:wrapNone/>
          <wp:docPr id="9" name="Logo2" descr="\\nt1file01\j-drev$\microsoft\office2010\templatew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nt1file01\j-drev$\microsoft\office2010\templatewor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414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AE96CC"/>
    <w:lvl w:ilvl="0">
      <w:start w:val="1"/>
      <w:numFmt w:val="decimal"/>
      <w:lvlText w:val="%1."/>
      <w:lvlJc w:val="left"/>
      <w:pPr>
        <w:tabs>
          <w:tab w:val="num" w:pos="1492"/>
        </w:tabs>
        <w:ind w:left="1492" w:hanging="360"/>
      </w:pPr>
    </w:lvl>
  </w:abstractNum>
  <w:abstractNum w:abstractNumId="1">
    <w:nsid w:val="FFFFFF7D"/>
    <w:multiLevelType w:val="singleLevel"/>
    <w:tmpl w:val="60A89306"/>
    <w:lvl w:ilvl="0">
      <w:start w:val="1"/>
      <w:numFmt w:val="decimal"/>
      <w:lvlText w:val="%1."/>
      <w:lvlJc w:val="left"/>
      <w:pPr>
        <w:tabs>
          <w:tab w:val="num" w:pos="1209"/>
        </w:tabs>
        <w:ind w:left="1209" w:hanging="360"/>
      </w:pPr>
    </w:lvl>
  </w:abstractNum>
  <w:abstractNum w:abstractNumId="2">
    <w:nsid w:val="FFFFFF7E"/>
    <w:multiLevelType w:val="singleLevel"/>
    <w:tmpl w:val="14205B0E"/>
    <w:lvl w:ilvl="0">
      <w:start w:val="1"/>
      <w:numFmt w:val="decimal"/>
      <w:lvlText w:val="%1."/>
      <w:lvlJc w:val="left"/>
      <w:pPr>
        <w:tabs>
          <w:tab w:val="num" w:pos="926"/>
        </w:tabs>
        <w:ind w:left="926" w:hanging="360"/>
      </w:pPr>
    </w:lvl>
  </w:abstractNum>
  <w:abstractNum w:abstractNumId="3">
    <w:nsid w:val="FFFFFF7F"/>
    <w:multiLevelType w:val="singleLevel"/>
    <w:tmpl w:val="6D723122"/>
    <w:lvl w:ilvl="0">
      <w:start w:val="1"/>
      <w:numFmt w:val="decimal"/>
      <w:lvlText w:val="%1."/>
      <w:lvlJc w:val="left"/>
      <w:pPr>
        <w:tabs>
          <w:tab w:val="num" w:pos="643"/>
        </w:tabs>
        <w:ind w:left="643" w:hanging="360"/>
      </w:pPr>
    </w:lvl>
  </w:abstractNum>
  <w:abstractNum w:abstractNumId="4">
    <w:nsid w:val="FFFFFF80"/>
    <w:multiLevelType w:val="singleLevel"/>
    <w:tmpl w:val="59FC9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EC7F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16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A24708"/>
    <w:lvl w:ilvl="0">
      <w:start w:val="1"/>
      <w:numFmt w:val="bullet"/>
      <w:lvlText w:val=""/>
      <w:lvlJc w:val="left"/>
      <w:pPr>
        <w:tabs>
          <w:tab w:val="num" w:pos="643"/>
        </w:tabs>
        <w:ind w:left="643" w:hanging="360"/>
      </w:pPr>
      <w:rPr>
        <w:rFonts w:ascii="Symbol" w:hAnsi="Symbol" w:hint="default"/>
      </w:rPr>
    </w:lvl>
  </w:abstractNum>
  <w:abstractNum w:abstractNumId="8">
    <w:nsid w:val="04DD4A22"/>
    <w:multiLevelType w:val="multilevel"/>
    <w:tmpl w:val="A4DAC23E"/>
    <w:lvl w:ilvl="0">
      <w:start w:val="1"/>
      <w:numFmt w:val="decimal"/>
      <w:pStyle w:val="ListNumber"/>
      <w:lvlText w:val="%1."/>
      <w:lvlJc w:val="left"/>
      <w:pPr>
        <w:tabs>
          <w:tab w:val="num" w:pos="851"/>
        </w:tabs>
        <w:ind w:left="851" w:hanging="85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5B44803"/>
    <w:multiLevelType w:val="multilevel"/>
    <w:tmpl w:val="B82AD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F0A5B50"/>
    <w:multiLevelType w:val="hybridMultilevel"/>
    <w:tmpl w:val="C1FC65DA"/>
    <w:lvl w:ilvl="0" w:tplc="D0A03C1C">
      <w:start w:val="1"/>
      <w:numFmt w:val="decimal"/>
      <w:pStyle w:val="Listwnumbers"/>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0065FA"/>
    <w:multiLevelType w:val="multilevel"/>
    <w:tmpl w:val="0672C3EA"/>
    <w:styleLink w:val="StyleNumbered"/>
    <w:lvl w:ilvl="0">
      <w:start w:val="1"/>
      <w:numFmt w:val="decimal"/>
      <w:lvlText w:val="%1."/>
      <w:lvlJc w:val="left"/>
      <w:pPr>
        <w:tabs>
          <w:tab w:val="num" w:pos="851"/>
        </w:tabs>
        <w:ind w:left="851" w:hanging="851"/>
      </w:pPr>
      <w:rPr>
        <w:rFonts w:hint="default"/>
        <w:sz w:val="22"/>
      </w:rPr>
    </w:lvl>
    <w:lvl w:ilvl="1">
      <w:start w:val="1"/>
      <w:numFmt w:val="lowerLetter"/>
      <w:lvlText w:val="%2."/>
      <w:lvlJc w:val="left"/>
      <w:pPr>
        <w:tabs>
          <w:tab w:val="num" w:pos="1701"/>
        </w:tabs>
        <w:ind w:left="1701" w:hanging="850"/>
      </w:pPr>
      <w:rPr>
        <w:rFonts w:hint="default"/>
      </w:rPr>
    </w:lvl>
    <w:lvl w:ilvl="2">
      <w:start w:val="1"/>
      <w:numFmt w:val="lowerRoman"/>
      <w:lvlText w:val="%3."/>
      <w:lvlJc w:val="right"/>
      <w:pPr>
        <w:tabs>
          <w:tab w:val="num" w:pos="2552"/>
        </w:tabs>
        <w:ind w:left="2552" w:hanging="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5290BC6"/>
    <w:multiLevelType w:val="multilevel"/>
    <w:tmpl w:val="9C32D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CBE682E"/>
    <w:multiLevelType w:val="hybridMultilevel"/>
    <w:tmpl w:val="F9420CC8"/>
    <w:lvl w:ilvl="0" w:tplc="C980BA4C">
      <w:start w:val="1"/>
      <w:numFmt w:val="bullet"/>
      <w:pStyle w:val="Listwbullets"/>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FB3B20"/>
    <w:multiLevelType w:val="multilevel"/>
    <w:tmpl w:val="E044108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E201249"/>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02C24F8"/>
    <w:multiLevelType w:val="hybridMultilevel"/>
    <w:tmpl w:val="BC0A6166"/>
    <w:lvl w:ilvl="0" w:tplc="6B760AE2">
      <w:start w:val="1"/>
      <w:numFmt w:val="bullet"/>
      <w:pStyle w:val="ListBullet"/>
      <w:lvlText w:val=""/>
      <w:lvlJc w:val="left"/>
      <w:pPr>
        <w:tabs>
          <w:tab w:val="num" w:pos="851"/>
        </w:tabs>
        <w:ind w:left="851" w:hanging="851"/>
      </w:pPr>
      <w:rPr>
        <w:rFonts w:ascii="Symbol" w:hAnsi="Symbol" w:hint="default"/>
      </w:rPr>
    </w:lvl>
    <w:lvl w:ilvl="1" w:tplc="04060019">
      <w:start w:val="1"/>
      <w:numFmt w:val="decimal"/>
      <w:lvlText w:val="%2."/>
      <w:lvlJc w:val="left"/>
      <w:pPr>
        <w:tabs>
          <w:tab w:val="num" w:pos="1440"/>
        </w:tabs>
        <w:ind w:left="1440" w:hanging="360"/>
      </w:pPr>
      <w:rPr>
        <w:rFonts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7">
    <w:nsid w:val="70997F9E"/>
    <w:multiLevelType w:val="multilevel"/>
    <w:tmpl w:val="2F563C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6"/>
  </w:num>
  <w:num w:numId="3">
    <w:abstractNumId w:val="15"/>
  </w:num>
  <w:num w:numId="4">
    <w:abstractNumId w:val="11"/>
  </w:num>
  <w:num w:numId="5">
    <w:abstractNumId w:val="8"/>
  </w:num>
  <w:num w:numId="6">
    <w:abstractNumId w:val="13"/>
  </w:num>
  <w:num w:numId="7">
    <w:abstractNumId w:val="1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850"/>
  <w:autoHyphenation/>
  <w:hyphenationZone w:val="425"/>
  <w:drawingGridHorizontalSpacing w:val="17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Agreed" w:val="0"/>
    <w:docVar w:name="brugerlokation" w:val="1"/>
    <w:docVar w:name="date" w:val="25. oktober 2012"/>
    <w:docVar w:name="forApproval" w:val="0"/>
    <w:docVar w:name="forInfo" w:val="0"/>
    <w:docVar w:name="language" w:val="0"/>
    <w:docVar w:name="mailmerge" w:val="0"/>
    <w:docVar w:name="Page1Logo" w:val="1"/>
    <w:docVar w:name="Page1Paper" w:val="269"/>
    <w:docVar w:name="Page2Logo" w:val="0"/>
    <w:docVar w:name="Page2Paper" w:val="269"/>
    <w:docVar w:name="pleaseCall" w:val="0"/>
    <w:docVar w:name="subject" w:val="??"/>
    <w:docVar w:name="Type" w:val="7"/>
  </w:docVars>
  <w:rsids>
    <w:rsidRoot w:val="00E35021"/>
    <w:rsid w:val="00012A63"/>
    <w:rsid w:val="00012B2C"/>
    <w:rsid w:val="00021637"/>
    <w:rsid w:val="00021F9A"/>
    <w:rsid w:val="00033F19"/>
    <w:rsid w:val="0004244B"/>
    <w:rsid w:val="0005304F"/>
    <w:rsid w:val="00056981"/>
    <w:rsid w:val="00061761"/>
    <w:rsid w:val="00062177"/>
    <w:rsid w:val="000650B9"/>
    <w:rsid w:val="000656C9"/>
    <w:rsid w:val="000743AD"/>
    <w:rsid w:val="00081BDE"/>
    <w:rsid w:val="000906EC"/>
    <w:rsid w:val="000951E6"/>
    <w:rsid w:val="000B7808"/>
    <w:rsid w:val="000C1992"/>
    <w:rsid w:val="000C33F8"/>
    <w:rsid w:val="000C5C04"/>
    <w:rsid w:val="000D0B8E"/>
    <w:rsid w:val="000E37BD"/>
    <w:rsid w:val="000E5C90"/>
    <w:rsid w:val="000E6626"/>
    <w:rsid w:val="001034B3"/>
    <w:rsid w:val="001204DB"/>
    <w:rsid w:val="00134622"/>
    <w:rsid w:val="0013550E"/>
    <w:rsid w:val="00136435"/>
    <w:rsid w:val="00142D4E"/>
    <w:rsid w:val="001644F2"/>
    <w:rsid w:val="00164A99"/>
    <w:rsid w:val="00167A10"/>
    <w:rsid w:val="001778A1"/>
    <w:rsid w:val="00183D36"/>
    <w:rsid w:val="001861DA"/>
    <w:rsid w:val="001968EA"/>
    <w:rsid w:val="001B2F8E"/>
    <w:rsid w:val="001B3848"/>
    <w:rsid w:val="001B7026"/>
    <w:rsid w:val="001C4EEF"/>
    <w:rsid w:val="001D0605"/>
    <w:rsid w:val="001D6327"/>
    <w:rsid w:val="001E1DF2"/>
    <w:rsid w:val="001F3CFD"/>
    <w:rsid w:val="0020571D"/>
    <w:rsid w:val="00207304"/>
    <w:rsid w:val="002114FF"/>
    <w:rsid w:val="00216AC3"/>
    <w:rsid w:val="00217E43"/>
    <w:rsid w:val="0022559F"/>
    <w:rsid w:val="00230BE6"/>
    <w:rsid w:val="00234C35"/>
    <w:rsid w:val="00236CE2"/>
    <w:rsid w:val="00241EAB"/>
    <w:rsid w:val="002445FE"/>
    <w:rsid w:val="002738FF"/>
    <w:rsid w:val="00274BC2"/>
    <w:rsid w:val="002843EF"/>
    <w:rsid w:val="002913BF"/>
    <w:rsid w:val="002A2A23"/>
    <w:rsid w:val="002A370E"/>
    <w:rsid w:val="002A6FB9"/>
    <w:rsid w:val="002D17EB"/>
    <w:rsid w:val="002E154A"/>
    <w:rsid w:val="002F6095"/>
    <w:rsid w:val="002F74D3"/>
    <w:rsid w:val="003078FF"/>
    <w:rsid w:val="00313D7B"/>
    <w:rsid w:val="0031435B"/>
    <w:rsid w:val="0031526C"/>
    <w:rsid w:val="0031661A"/>
    <w:rsid w:val="0033640E"/>
    <w:rsid w:val="00343B06"/>
    <w:rsid w:val="00345CD8"/>
    <w:rsid w:val="003460BA"/>
    <w:rsid w:val="00353E99"/>
    <w:rsid w:val="00371A9A"/>
    <w:rsid w:val="00374CFB"/>
    <w:rsid w:val="003824FD"/>
    <w:rsid w:val="00387520"/>
    <w:rsid w:val="00387E2F"/>
    <w:rsid w:val="00391A4A"/>
    <w:rsid w:val="003B6905"/>
    <w:rsid w:val="003B6929"/>
    <w:rsid w:val="003C5778"/>
    <w:rsid w:val="003E0135"/>
    <w:rsid w:val="003E0793"/>
    <w:rsid w:val="003E0BC7"/>
    <w:rsid w:val="00402790"/>
    <w:rsid w:val="00406085"/>
    <w:rsid w:val="00430ECD"/>
    <w:rsid w:val="00433DAF"/>
    <w:rsid w:val="0046090E"/>
    <w:rsid w:val="0046129A"/>
    <w:rsid w:val="004643F5"/>
    <w:rsid w:val="00465082"/>
    <w:rsid w:val="004818BD"/>
    <w:rsid w:val="00481B7C"/>
    <w:rsid w:val="004922C6"/>
    <w:rsid w:val="00494940"/>
    <w:rsid w:val="004A22E3"/>
    <w:rsid w:val="004C0C5B"/>
    <w:rsid w:val="004C156F"/>
    <w:rsid w:val="004D0107"/>
    <w:rsid w:val="004D1578"/>
    <w:rsid w:val="004D2039"/>
    <w:rsid w:val="00504A47"/>
    <w:rsid w:val="0050568F"/>
    <w:rsid w:val="005121A4"/>
    <w:rsid w:val="00530984"/>
    <w:rsid w:val="00554D6F"/>
    <w:rsid w:val="00561F0B"/>
    <w:rsid w:val="00580110"/>
    <w:rsid w:val="00580429"/>
    <w:rsid w:val="005856A3"/>
    <w:rsid w:val="00586009"/>
    <w:rsid w:val="0059699C"/>
    <w:rsid w:val="005A09C0"/>
    <w:rsid w:val="005A1ADC"/>
    <w:rsid w:val="005A424B"/>
    <w:rsid w:val="005C0B78"/>
    <w:rsid w:val="005C3A42"/>
    <w:rsid w:val="005D11F2"/>
    <w:rsid w:val="005D1705"/>
    <w:rsid w:val="005E007D"/>
    <w:rsid w:val="005E52BE"/>
    <w:rsid w:val="005F1842"/>
    <w:rsid w:val="005F5A0A"/>
    <w:rsid w:val="00600D58"/>
    <w:rsid w:val="00606A05"/>
    <w:rsid w:val="006121E5"/>
    <w:rsid w:val="00621C97"/>
    <w:rsid w:val="0062321D"/>
    <w:rsid w:val="00634A9C"/>
    <w:rsid w:val="00643AF3"/>
    <w:rsid w:val="00651FEB"/>
    <w:rsid w:val="00654F93"/>
    <w:rsid w:val="0065630F"/>
    <w:rsid w:val="00656BD5"/>
    <w:rsid w:val="00671386"/>
    <w:rsid w:val="00681724"/>
    <w:rsid w:val="00684560"/>
    <w:rsid w:val="00687341"/>
    <w:rsid w:val="00694B9F"/>
    <w:rsid w:val="006A52CD"/>
    <w:rsid w:val="006A6FAF"/>
    <w:rsid w:val="006B18F7"/>
    <w:rsid w:val="006B6763"/>
    <w:rsid w:val="006B6FBC"/>
    <w:rsid w:val="006C4771"/>
    <w:rsid w:val="006C6F16"/>
    <w:rsid w:val="006C78B1"/>
    <w:rsid w:val="006D10B7"/>
    <w:rsid w:val="006D182B"/>
    <w:rsid w:val="006D45B0"/>
    <w:rsid w:val="006E09CA"/>
    <w:rsid w:val="006E0AB0"/>
    <w:rsid w:val="006E5D97"/>
    <w:rsid w:val="0070012C"/>
    <w:rsid w:val="00705302"/>
    <w:rsid w:val="00716723"/>
    <w:rsid w:val="007211E4"/>
    <w:rsid w:val="00726630"/>
    <w:rsid w:val="0073141E"/>
    <w:rsid w:val="00736F59"/>
    <w:rsid w:val="00755D25"/>
    <w:rsid w:val="0075774F"/>
    <w:rsid w:val="00765803"/>
    <w:rsid w:val="00781E18"/>
    <w:rsid w:val="007B1A8A"/>
    <w:rsid w:val="007B7459"/>
    <w:rsid w:val="007C0BCE"/>
    <w:rsid w:val="007C3B76"/>
    <w:rsid w:val="007D6C4A"/>
    <w:rsid w:val="00801361"/>
    <w:rsid w:val="008019BE"/>
    <w:rsid w:val="00802004"/>
    <w:rsid w:val="00803433"/>
    <w:rsid w:val="008061A4"/>
    <w:rsid w:val="0081722F"/>
    <w:rsid w:val="00817B9C"/>
    <w:rsid w:val="00826D0A"/>
    <w:rsid w:val="0082726A"/>
    <w:rsid w:val="00830F17"/>
    <w:rsid w:val="008324E0"/>
    <w:rsid w:val="0083402D"/>
    <w:rsid w:val="008425F2"/>
    <w:rsid w:val="00850D3B"/>
    <w:rsid w:val="008521BB"/>
    <w:rsid w:val="008542FB"/>
    <w:rsid w:val="0086687C"/>
    <w:rsid w:val="00871155"/>
    <w:rsid w:val="00880AEF"/>
    <w:rsid w:val="00895340"/>
    <w:rsid w:val="008B2AF2"/>
    <w:rsid w:val="008B31BC"/>
    <w:rsid w:val="008B33ED"/>
    <w:rsid w:val="008B4C0B"/>
    <w:rsid w:val="008B6CC2"/>
    <w:rsid w:val="008D6373"/>
    <w:rsid w:val="008D6E21"/>
    <w:rsid w:val="008F136E"/>
    <w:rsid w:val="008F608F"/>
    <w:rsid w:val="008F6E4F"/>
    <w:rsid w:val="00911C45"/>
    <w:rsid w:val="0091203B"/>
    <w:rsid w:val="0091446C"/>
    <w:rsid w:val="00916D9A"/>
    <w:rsid w:val="009252DD"/>
    <w:rsid w:val="00931C42"/>
    <w:rsid w:val="00952731"/>
    <w:rsid w:val="009579F2"/>
    <w:rsid w:val="009608C5"/>
    <w:rsid w:val="0096649D"/>
    <w:rsid w:val="00970B31"/>
    <w:rsid w:val="00971714"/>
    <w:rsid w:val="00972261"/>
    <w:rsid w:val="009726AB"/>
    <w:rsid w:val="0097784B"/>
    <w:rsid w:val="00985B64"/>
    <w:rsid w:val="00994A17"/>
    <w:rsid w:val="009A147B"/>
    <w:rsid w:val="009A5463"/>
    <w:rsid w:val="009B370F"/>
    <w:rsid w:val="009B382A"/>
    <w:rsid w:val="009C5517"/>
    <w:rsid w:val="009C5E49"/>
    <w:rsid w:val="009C65AD"/>
    <w:rsid w:val="009D13A4"/>
    <w:rsid w:val="009E3DF4"/>
    <w:rsid w:val="009E7E5D"/>
    <w:rsid w:val="009F0404"/>
    <w:rsid w:val="009F057B"/>
    <w:rsid w:val="00A01C45"/>
    <w:rsid w:val="00A06EE1"/>
    <w:rsid w:val="00A06F6E"/>
    <w:rsid w:val="00A14E84"/>
    <w:rsid w:val="00A1586E"/>
    <w:rsid w:val="00A17E34"/>
    <w:rsid w:val="00A21408"/>
    <w:rsid w:val="00A23D39"/>
    <w:rsid w:val="00A34225"/>
    <w:rsid w:val="00A35D47"/>
    <w:rsid w:val="00A420CE"/>
    <w:rsid w:val="00A46226"/>
    <w:rsid w:val="00A54282"/>
    <w:rsid w:val="00A607D8"/>
    <w:rsid w:val="00A62A1C"/>
    <w:rsid w:val="00A706E5"/>
    <w:rsid w:val="00A72650"/>
    <w:rsid w:val="00A75080"/>
    <w:rsid w:val="00A752A3"/>
    <w:rsid w:val="00A80967"/>
    <w:rsid w:val="00A80BC2"/>
    <w:rsid w:val="00A826AE"/>
    <w:rsid w:val="00AA0E42"/>
    <w:rsid w:val="00AA7133"/>
    <w:rsid w:val="00AB1063"/>
    <w:rsid w:val="00AB3825"/>
    <w:rsid w:val="00AB7BE6"/>
    <w:rsid w:val="00AC2423"/>
    <w:rsid w:val="00AC31D3"/>
    <w:rsid w:val="00AC5A66"/>
    <w:rsid w:val="00AD4AA6"/>
    <w:rsid w:val="00AE7863"/>
    <w:rsid w:val="00AF175B"/>
    <w:rsid w:val="00B04202"/>
    <w:rsid w:val="00B16CBE"/>
    <w:rsid w:val="00B22490"/>
    <w:rsid w:val="00B24A24"/>
    <w:rsid w:val="00B274AE"/>
    <w:rsid w:val="00B27EF6"/>
    <w:rsid w:val="00B309B7"/>
    <w:rsid w:val="00B3562C"/>
    <w:rsid w:val="00B378EF"/>
    <w:rsid w:val="00B43174"/>
    <w:rsid w:val="00B45D5A"/>
    <w:rsid w:val="00B52EC8"/>
    <w:rsid w:val="00B648C6"/>
    <w:rsid w:val="00B65451"/>
    <w:rsid w:val="00B65E31"/>
    <w:rsid w:val="00B67680"/>
    <w:rsid w:val="00B8242B"/>
    <w:rsid w:val="00B95A73"/>
    <w:rsid w:val="00BA0874"/>
    <w:rsid w:val="00BB62E1"/>
    <w:rsid w:val="00BE480D"/>
    <w:rsid w:val="00BF21BD"/>
    <w:rsid w:val="00BF5BFE"/>
    <w:rsid w:val="00C016FE"/>
    <w:rsid w:val="00C034B4"/>
    <w:rsid w:val="00C223D5"/>
    <w:rsid w:val="00C23AC3"/>
    <w:rsid w:val="00C32C08"/>
    <w:rsid w:val="00C40B71"/>
    <w:rsid w:val="00C4594B"/>
    <w:rsid w:val="00C5031A"/>
    <w:rsid w:val="00C50CFD"/>
    <w:rsid w:val="00C5173C"/>
    <w:rsid w:val="00C7346D"/>
    <w:rsid w:val="00C83CD1"/>
    <w:rsid w:val="00C902B0"/>
    <w:rsid w:val="00C936AC"/>
    <w:rsid w:val="00CC5298"/>
    <w:rsid w:val="00CC6DFB"/>
    <w:rsid w:val="00CD3791"/>
    <w:rsid w:val="00CD66DB"/>
    <w:rsid w:val="00CE0089"/>
    <w:rsid w:val="00CE4000"/>
    <w:rsid w:val="00CE40B7"/>
    <w:rsid w:val="00CF4F30"/>
    <w:rsid w:val="00D06AE0"/>
    <w:rsid w:val="00D23527"/>
    <w:rsid w:val="00D34711"/>
    <w:rsid w:val="00D35DC1"/>
    <w:rsid w:val="00D42BE4"/>
    <w:rsid w:val="00D45E25"/>
    <w:rsid w:val="00D65B5C"/>
    <w:rsid w:val="00D73E26"/>
    <w:rsid w:val="00D9372A"/>
    <w:rsid w:val="00DA4B0D"/>
    <w:rsid w:val="00DB220F"/>
    <w:rsid w:val="00DB27FF"/>
    <w:rsid w:val="00DB5AE0"/>
    <w:rsid w:val="00DD4C35"/>
    <w:rsid w:val="00DE119C"/>
    <w:rsid w:val="00DF2702"/>
    <w:rsid w:val="00DF357E"/>
    <w:rsid w:val="00E0230B"/>
    <w:rsid w:val="00E325D1"/>
    <w:rsid w:val="00E35021"/>
    <w:rsid w:val="00E61E09"/>
    <w:rsid w:val="00E711FA"/>
    <w:rsid w:val="00E75DC9"/>
    <w:rsid w:val="00E858C3"/>
    <w:rsid w:val="00E86148"/>
    <w:rsid w:val="00E92126"/>
    <w:rsid w:val="00EA1252"/>
    <w:rsid w:val="00EA4D26"/>
    <w:rsid w:val="00ED2981"/>
    <w:rsid w:val="00EE426A"/>
    <w:rsid w:val="00EE59C9"/>
    <w:rsid w:val="00EF18E5"/>
    <w:rsid w:val="00EF4A8A"/>
    <w:rsid w:val="00F06D8A"/>
    <w:rsid w:val="00F24D69"/>
    <w:rsid w:val="00F3546F"/>
    <w:rsid w:val="00F40BAF"/>
    <w:rsid w:val="00F415B1"/>
    <w:rsid w:val="00F425A9"/>
    <w:rsid w:val="00F55CA6"/>
    <w:rsid w:val="00F55F22"/>
    <w:rsid w:val="00F62746"/>
    <w:rsid w:val="00F70907"/>
    <w:rsid w:val="00F7576E"/>
    <w:rsid w:val="00F75A0B"/>
    <w:rsid w:val="00F93AFE"/>
    <w:rsid w:val="00F956DD"/>
    <w:rsid w:val="00FA2978"/>
    <w:rsid w:val="00FB189D"/>
    <w:rsid w:val="00FB1A12"/>
    <w:rsid w:val="00FC5485"/>
    <w:rsid w:val="00FC5F4F"/>
    <w:rsid w:val="00FD6D2F"/>
    <w:rsid w:val="00FE3E8A"/>
    <w:rsid w:val="00FE77D0"/>
    <w:rsid w:val="00FF3BF4"/>
    <w:rsid w:val="00FF6A99"/>
    <w:rsid w:val="00FF6D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1D"/>
    <w:rPr>
      <w:rFonts w:ascii="Calibri" w:hAnsi="Calibri"/>
      <w:sz w:val="22"/>
      <w:szCs w:val="24"/>
    </w:rPr>
  </w:style>
  <w:style w:type="paragraph" w:styleId="Heading1">
    <w:name w:val="heading 1"/>
    <w:basedOn w:val="Normal"/>
    <w:next w:val="Normal"/>
    <w:qFormat/>
    <w:rsid w:val="005D1705"/>
    <w:pPr>
      <w:keepNext/>
      <w:keepLines/>
      <w:numPr>
        <w:numId w:val="1"/>
      </w:numPr>
      <w:pBdr>
        <w:bottom w:val="single" w:sz="4" w:space="1" w:color="auto"/>
      </w:pBdr>
      <w:outlineLvl w:val="0"/>
    </w:pPr>
    <w:rPr>
      <w:rFonts w:cs="Arial"/>
      <w:b/>
      <w:bCs/>
    </w:rPr>
  </w:style>
  <w:style w:type="paragraph" w:styleId="Heading2">
    <w:name w:val="heading 2"/>
    <w:basedOn w:val="Normal"/>
    <w:next w:val="Normal"/>
    <w:qFormat/>
    <w:rsid w:val="009F0404"/>
    <w:pPr>
      <w:keepNext/>
      <w:keepLines/>
      <w:numPr>
        <w:ilvl w:val="1"/>
        <w:numId w:val="1"/>
      </w:numPr>
      <w:outlineLvl w:val="1"/>
    </w:pPr>
    <w:rPr>
      <w:rFonts w:cs="Arial"/>
      <w:b/>
      <w:bCs/>
      <w:iCs/>
      <w:szCs w:val="28"/>
    </w:rPr>
  </w:style>
  <w:style w:type="paragraph" w:styleId="Heading3">
    <w:name w:val="heading 3"/>
    <w:basedOn w:val="Normal"/>
    <w:next w:val="Normal"/>
    <w:qFormat/>
    <w:rsid w:val="009F0404"/>
    <w:pPr>
      <w:keepNext/>
      <w:keepLines/>
      <w:numPr>
        <w:ilvl w:val="2"/>
        <w:numId w:val="1"/>
      </w:numPr>
      <w:outlineLvl w:val="2"/>
    </w:pPr>
    <w:rPr>
      <w:rFonts w:cs="Arial"/>
      <w:b/>
      <w:bCs/>
      <w:i/>
      <w:szCs w:val="26"/>
    </w:rPr>
  </w:style>
  <w:style w:type="paragraph" w:styleId="Heading4">
    <w:name w:val="heading 4"/>
    <w:basedOn w:val="Normal"/>
    <w:next w:val="Normal"/>
    <w:qFormat/>
    <w:rsid w:val="00985B64"/>
    <w:pPr>
      <w:keepNext/>
      <w:numPr>
        <w:ilvl w:val="3"/>
        <w:numId w:val="1"/>
      </w:numPr>
      <w:spacing w:before="240" w:after="60"/>
      <w:outlineLvl w:val="3"/>
    </w:pPr>
    <w:rPr>
      <w:b/>
      <w:bCs/>
      <w:sz w:val="28"/>
      <w:szCs w:val="28"/>
    </w:rPr>
  </w:style>
  <w:style w:type="paragraph" w:styleId="Heading5">
    <w:name w:val="heading 5"/>
    <w:basedOn w:val="Normal"/>
    <w:next w:val="Normal"/>
    <w:qFormat/>
    <w:rsid w:val="00985B64"/>
    <w:pPr>
      <w:numPr>
        <w:ilvl w:val="4"/>
        <w:numId w:val="1"/>
      </w:numPr>
      <w:spacing w:before="240" w:after="60"/>
      <w:outlineLvl w:val="4"/>
    </w:pPr>
    <w:rPr>
      <w:b/>
      <w:bCs/>
      <w:i/>
      <w:iCs/>
      <w:sz w:val="26"/>
      <w:szCs w:val="26"/>
    </w:rPr>
  </w:style>
  <w:style w:type="paragraph" w:styleId="Heading6">
    <w:name w:val="heading 6"/>
    <w:basedOn w:val="Normal"/>
    <w:next w:val="Normal"/>
    <w:qFormat/>
    <w:rsid w:val="00985B64"/>
    <w:pPr>
      <w:numPr>
        <w:ilvl w:val="5"/>
        <w:numId w:val="1"/>
      </w:numPr>
      <w:spacing w:before="240" w:after="60"/>
      <w:outlineLvl w:val="5"/>
    </w:pPr>
    <w:rPr>
      <w:b/>
      <w:bCs/>
      <w:szCs w:val="22"/>
    </w:rPr>
  </w:style>
  <w:style w:type="paragraph" w:styleId="Heading7">
    <w:name w:val="heading 7"/>
    <w:basedOn w:val="Normal"/>
    <w:next w:val="Normal"/>
    <w:qFormat/>
    <w:rsid w:val="00985B64"/>
    <w:pPr>
      <w:numPr>
        <w:ilvl w:val="6"/>
        <w:numId w:val="1"/>
      </w:numPr>
      <w:spacing w:before="240" w:after="60"/>
      <w:outlineLvl w:val="6"/>
    </w:pPr>
    <w:rPr>
      <w:sz w:val="24"/>
    </w:rPr>
  </w:style>
  <w:style w:type="paragraph" w:styleId="Heading8">
    <w:name w:val="heading 8"/>
    <w:basedOn w:val="Normal"/>
    <w:next w:val="Normal"/>
    <w:qFormat/>
    <w:rsid w:val="00985B64"/>
    <w:pPr>
      <w:numPr>
        <w:ilvl w:val="7"/>
        <w:numId w:val="1"/>
      </w:numPr>
      <w:spacing w:before="240" w:after="60"/>
      <w:outlineLvl w:val="7"/>
    </w:pPr>
    <w:rPr>
      <w:i/>
      <w:iCs/>
      <w:sz w:val="24"/>
    </w:rPr>
  </w:style>
  <w:style w:type="paragraph" w:styleId="Heading9">
    <w:name w:val="heading 9"/>
    <w:basedOn w:val="Normal"/>
    <w:next w:val="Normal"/>
    <w:qFormat/>
    <w:rsid w:val="00985B6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
    <w:name w:val="aaa"/>
    <w:basedOn w:val="Normal"/>
    <w:rsid w:val="00D45E25"/>
    <w:pPr>
      <w:spacing w:line="280" w:lineRule="atLeast"/>
    </w:pPr>
    <w:rPr>
      <w:rFonts w:ascii="Courier" w:hAnsi="Courier"/>
      <w:lang w:eastAsia="en-US"/>
    </w:rPr>
  </w:style>
  <w:style w:type="paragraph" w:styleId="Footer">
    <w:name w:val="footer"/>
    <w:basedOn w:val="Normal"/>
    <w:rsid w:val="00A706E5"/>
    <w:pPr>
      <w:tabs>
        <w:tab w:val="left" w:pos="851"/>
        <w:tab w:val="right" w:pos="7088"/>
      </w:tabs>
    </w:pPr>
    <w:rPr>
      <w:i/>
      <w:sz w:val="20"/>
    </w:rPr>
  </w:style>
  <w:style w:type="paragraph" w:customStyle="1" w:styleId="Heading1nonum">
    <w:name w:val="Heading 1 (no num)"/>
    <w:basedOn w:val="Normal"/>
    <w:next w:val="Normal"/>
    <w:rsid w:val="00C83CD1"/>
    <w:pPr>
      <w:keepNext/>
      <w:keepLines/>
      <w:pBdr>
        <w:bottom w:val="single" w:sz="4" w:space="1" w:color="auto"/>
      </w:pBdr>
      <w:outlineLvl w:val="0"/>
    </w:pPr>
    <w:rPr>
      <w:b/>
    </w:rPr>
  </w:style>
  <w:style w:type="paragraph" w:customStyle="1" w:styleId="Heading2nonum">
    <w:name w:val="Heading 2 (no num)"/>
    <w:basedOn w:val="Normal"/>
    <w:next w:val="Normal"/>
    <w:rsid w:val="00C83CD1"/>
    <w:pPr>
      <w:keepNext/>
      <w:keepLines/>
      <w:outlineLvl w:val="1"/>
    </w:pPr>
    <w:rPr>
      <w:b/>
    </w:rPr>
  </w:style>
  <w:style w:type="paragraph" w:customStyle="1" w:styleId="Heading3nonum">
    <w:name w:val="Heading 3 (no num)"/>
    <w:basedOn w:val="Normal"/>
    <w:next w:val="Normal"/>
    <w:rsid w:val="00C83CD1"/>
    <w:pPr>
      <w:keepNext/>
      <w:keepLines/>
      <w:outlineLvl w:val="2"/>
    </w:pPr>
    <w:rPr>
      <w:b/>
      <w:i/>
    </w:rPr>
  </w:style>
  <w:style w:type="paragraph" w:styleId="ListNumber">
    <w:name w:val="List Number"/>
    <w:basedOn w:val="Normal"/>
    <w:rsid w:val="00A1586E"/>
    <w:pPr>
      <w:numPr>
        <w:numId w:val="5"/>
      </w:numPr>
    </w:pPr>
  </w:style>
  <w:style w:type="paragraph" w:styleId="ListBullet">
    <w:name w:val="List Bullet"/>
    <w:basedOn w:val="Normal"/>
    <w:rsid w:val="009C5E49"/>
    <w:pPr>
      <w:numPr>
        <w:numId w:val="2"/>
      </w:numPr>
    </w:pPr>
  </w:style>
  <w:style w:type="paragraph" w:styleId="Header">
    <w:name w:val="header"/>
    <w:basedOn w:val="Normal"/>
    <w:rsid w:val="00B378EF"/>
    <w:pPr>
      <w:tabs>
        <w:tab w:val="center" w:pos="4320"/>
        <w:tab w:val="right" w:pos="8640"/>
      </w:tabs>
    </w:pPr>
  </w:style>
  <w:style w:type="paragraph" w:customStyle="1" w:styleId="DateAndRef">
    <w:name w:val="DateAndRef"/>
    <w:basedOn w:val="Normal"/>
    <w:next w:val="Normal"/>
    <w:rsid w:val="00651FEB"/>
    <w:pPr>
      <w:jc w:val="right"/>
    </w:pPr>
  </w:style>
  <w:style w:type="paragraph" w:styleId="Title">
    <w:name w:val="Title"/>
    <w:basedOn w:val="Normal"/>
    <w:link w:val="TitleChar"/>
    <w:qFormat/>
    <w:rsid w:val="00985B64"/>
    <w:rPr>
      <w:rFonts w:cs="Arial"/>
      <w:b/>
      <w:bCs/>
      <w:sz w:val="32"/>
      <w:szCs w:val="32"/>
    </w:rPr>
  </w:style>
  <w:style w:type="numbering" w:styleId="111111">
    <w:name w:val="Outline List 2"/>
    <w:basedOn w:val="NoList"/>
    <w:rsid w:val="009C5517"/>
    <w:pPr>
      <w:numPr>
        <w:numId w:val="3"/>
      </w:numPr>
    </w:pPr>
  </w:style>
  <w:style w:type="numbering" w:customStyle="1" w:styleId="StyleNumbered">
    <w:name w:val="Style Numbered"/>
    <w:basedOn w:val="NoList"/>
    <w:rsid w:val="00694B9F"/>
    <w:pPr>
      <w:numPr>
        <w:numId w:val="4"/>
      </w:numPr>
    </w:pPr>
  </w:style>
  <w:style w:type="paragraph" w:customStyle="1" w:styleId="Title2">
    <w:name w:val="Title 2"/>
    <w:basedOn w:val="Heading1nonum"/>
    <w:next w:val="Normal"/>
    <w:rsid w:val="006C6F16"/>
    <w:pPr>
      <w:outlineLvl w:val="9"/>
    </w:pPr>
  </w:style>
  <w:style w:type="paragraph" w:customStyle="1" w:styleId="MarginText">
    <w:name w:val="Margin Text"/>
    <w:basedOn w:val="Normal"/>
    <w:rsid w:val="007B7459"/>
    <w:pPr>
      <w:framePr w:w="2268" w:wrap="around" w:vAnchor="text" w:hAnchor="page" w:x="9073" w:y="1"/>
    </w:pPr>
  </w:style>
  <w:style w:type="paragraph" w:customStyle="1" w:styleId="Listwbullets">
    <w:name w:val="List w. bullets"/>
    <w:basedOn w:val="Normal"/>
    <w:rsid w:val="006B6FBC"/>
    <w:pPr>
      <w:numPr>
        <w:numId w:val="6"/>
      </w:numPr>
    </w:pPr>
  </w:style>
  <w:style w:type="paragraph" w:customStyle="1" w:styleId="Listwnumbers">
    <w:name w:val="List w. numbers"/>
    <w:basedOn w:val="Normal"/>
    <w:rsid w:val="006B6FBC"/>
    <w:pPr>
      <w:numPr>
        <w:numId w:val="7"/>
      </w:numPr>
    </w:pPr>
  </w:style>
  <w:style w:type="paragraph" w:customStyle="1" w:styleId="MeetingStationary">
    <w:name w:val="Meeting Stationary"/>
    <w:basedOn w:val="Normal"/>
    <w:rsid w:val="004922C6"/>
    <w:pPr>
      <w:tabs>
        <w:tab w:val="left" w:pos="1361"/>
        <w:tab w:val="left" w:pos="3827"/>
        <w:tab w:val="left" w:pos="4536"/>
      </w:tabs>
      <w:ind w:left="1361" w:hanging="1361"/>
    </w:pPr>
  </w:style>
  <w:style w:type="paragraph" w:customStyle="1" w:styleId="CCstationary">
    <w:name w:val="CC stationary"/>
    <w:basedOn w:val="Normal"/>
    <w:next w:val="Normal"/>
    <w:rsid w:val="009A5463"/>
    <w:pPr>
      <w:ind w:left="851" w:hanging="851"/>
    </w:pPr>
    <w:rPr>
      <w:i/>
      <w:szCs w:val="22"/>
    </w:rPr>
  </w:style>
  <w:style w:type="paragraph" w:customStyle="1" w:styleId="Title-Telefax">
    <w:name w:val="Title - Telefax"/>
    <w:basedOn w:val="Title"/>
    <w:next w:val="Normal"/>
    <w:rsid w:val="009608C5"/>
    <w:rPr>
      <w:caps/>
      <w:spacing w:val="60"/>
    </w:rPr>
  </w:style>
  <w:style w:type="paragraph" w:customStyle="1" w:styleId="Faxstationary">
    <w:name w:val="Fax stationary"/>
    <w:basedOn w:val="Normal"/>
    <w:next w:val="Normal"/>
    <w:rsid w:val="00345CD8"/>
    <w:pPr>
      <w:pBdr>
        <w:left w:val="single" w:sz="4" w:space="0" w:color="auto"/>
        <w:bottom w:val="single" w:sz="4" w:space="0" w:color="auto"/>
        <w:right w:val="single" w:sz="4" w:space="0" w:color="auto"/>
      </w:pBdr>
      <w:tabs>
        <w:tab w:val="left" w:pos="1361"/>
        <w:tab w:val="left" w:pos="4536"/>
        <w:tab w:val="left" w:pos="5387"/>
      </w:tabs>
      <w:ind w:left="1361" w:hanging="1361"/>
    </w:pPr>
    <w:rPr>
      <w:lang w:val="en-US"/>
    </w:rPr>
  </w:style>
  <w:style w:type="paragraph" w:customStyle="1" w:styleId="Faxinfo-boxes">
    <w:name w:val="Fax info-boxes"/>
    <w:basedOn w:val="Faxstationary"/>
    <w:next w:val="Normal"/>
    <w:rsid w:val="00EF4A8A"/>
    <w:pPr>
      <w:pBdr>
        <w:top w:val="single" w:sz="4" w:space="1" w:color="auto"/>
        <w:bottom w:val="none" w:sz="0" w:space="0" w:color="auto"/>
      </w:pBdr>
      <w:tabs>
        <w:tab w:val="clear" w:pos="1361"/>
        <w:tab w:val="clear" w:pos="4536"/>
        <w:tab w:val="clear" w:pos="5387"/>
        <w:tab w:val="left" w:pos="1701"/>
        <w:tab w:val="left" w:pos="3402"/>
        <w:tab w:val="left" w:pos="5245"/>
      </w:tabs>
      <w:ind w:left="0" w:firstLine="0"/>
    </w:pPr>
  </w:style>
  <w:style w:type="paragraph" w:customStyle="1" w:styleId="Title2-TOC">
    <w:name w:val="Title 2 - TOC"/>
    <w:basedOn w:val="Title2"/>
    <w:next w:val="Normal"/>
    <w:rsid w:val="009F057B"/>
    <w:pPr>
      <w:tabs>
        <w:tab w:val="right" w:pos="7019"/>
      </w:tabs>
    </w:pPr>
  </w:style>
  <w:style w:type="character" w:styleId="Hyperlink">
    <w:name w:val="Hyperlink"/>
    <w:basedOn w:val="DefaultParagraphFont"/>
    <w:rsid w:val="003078FF"/>
    <w:rPr>
      <w:color w:val="0000FF"/>
      <w:u w:val="single"/>
    </w:rPr>
  </w:style>
  <w:style w:type="paragraph" w:styleId="TOC1">
    <w:name w:val="toc 1"/>
    <w:basedOn w:val="Normal"/>
    <w:next w:val="Normal"/>
    <w:autoRedefine/>
    <w:semiHidden/>
    <w:rsid w:val="009F057B"/>
  </w:style>
  <w:style w:type="paragraph" w:styleId="Subtitle">
    <w:name w:val="Subtitle"/>
    <w:basedOn w:val="Normal"/>
    <w:link w:val="SubtitleChar"/>
    <w:qFormat/>
    <w:rsid w:val="00D42BE4"/>
    <w:pPr>
      <w:spacing w:before="120"/>
      <w:jc w:val="center"/>
    </w:pPr>
    <w:rPr>
      <w:rFonts w:ascii="Tahoma" w:eastAsia="Times" w:hAnsi="Tahoma"/>
      <w:b/>
      <w:sz w:val="24"/>
      <w:szCs w:val="20"/>
      <w:lang w:val="en-US" w:eastAsia="en-US"/>
    </w:rPr>
  </w:style>
  <w:style w:type="paragraph" w:customStyle="1" w:styleId="TableHeading">
    <w:name w:val="Table Heading"/>
    <w:basedOn w:val="Heading2"/>
    <w:rsid w:val="00D42BE4"/>
    <w:pPr>
      <w:keepLines w:val="0"/>
      <w:numPr>
        <w:ilvl w:val="0"/>
        <w:numId w:val="0"/>
      </w:numPr>
      <w:spacing w:before="50" w:after="50"/>
    </w:pPr>
    <w:rPr>
      <w:rFonts w:ascii="Tahoma" w:eastAsia="Times" w:hAnsi="Tahoma" w:cs="Times New Roman"/>
      <w:bCs w:val="0"/>
      <w:iCs w:val="0"/>
      <w:color w:val="FFFFFF"/>
      <w:sz w:val="16"/>
      <w:szCs w:val="20"/>
      <w:lang w:val="en-US" w:eastAsia="en-US"/>
    </w:rPr>
  </w:style>
  <w:style w:type="paragraph" w:customStyle="1" w:styleId="TableContents">
    <w:name w:val="Table Contents"/>
    <w:basedOn w:val="Normal"/>
    <w:rsid w:val="00D42BE4"/>
    <w:pPr>
      <w:spacing w:before="120" w:after="120"/>
    </w:pPr>
    <w:rPr>
      <w:rFonts w:ascii="Tahoma" w:eastAsia="Times" w:hAnsi="Tahoma"/>
      <w:sz w:val="20"/>
      <w:szCs w:val="20"/>
      <w:lang w:val="en-US" w:eastAsia="en-US"/>
    </w:rPr>
  </w:style>
  <w:style w:type="character" w:customStyle="1" w:styleId="SubtitleChar">
    <w:name w:val="Subtitle Char"/>
    <w:basedOn w:val="DefaultParagraphFont"/>
    <w:link w:val="Subtitle"/>
    <w:rsid w:val="00D42BE4"/>
    <w:rPr>
      <w:rFonts w:ascii="Tahoma" w:eastAsia="Times" w:hAnsi="Tahoma"/>
      <w:b/>
      <w:sz w:val="24"/>
      <w:lang w:val="en-US" w:eastAsia="en-US" w:bidi="ar-SA"/>
    </w:rPr>
  </w:style>
  <w:style w:type="character" w:customStyle="1" w:styleId="TitleChar">
    <w:name w:val="Title Char"/>
    <w:basedOn w:val="DefaultParagraphFont"/>
    <w:link w:val="Title"/>
    <w:rsid w:val="009579F2"/>
    <w:rPr>
      <w:rFonts w:cs="Arial"/>
      <w:b/>
      <w:bCs/>
      <w:sz w:val="32"/>
      <w:szCs w:val="32"/>
    </w:rPr>
  </w:style>
  <w:style w:type="character" w:styleId="PlaceholderText">
    <w:name w:val="Placeholder Text"/>
    <w:basedOn w:val="DefaultParagraphFont"/>
    <w:uiPriority w:val="99"/>
    <w:semiHidden/>
    <w:rsid w:val="0033640E"/>
    <w:rPr>
      <w:color w:val="808080"/>
    </w:rPr>
  </w:style>
  <w:style w:type="paragraph" w:styleId="BalloonText">
    <w:name w:val="Balloon Text"/>
    <w:basedOn w:val="Normal"/>
    <w:link w:val="BalloonTextChar"/>
    <w:rsid w:val="0033640E"/>
    <w:rPr>
      <w:rFonts w:ascii="Tahoma" w:hAnsi="Tahoma" w:cs="Tahoma"/>
      <w:sz w:val="16"/>
      <w:szCs w:val="16"/>
    </w:rPr>
  </w:style>
  <w:style w:type="character" w:customStyle="1" w:styleId="BalloonTextChar">
    <w:name w:val="Balloon Text Char"/>
    <w:basedOn w:val="DefaultParagraphFont"/>
    <w:link w:val="BalloonText"/>
    <w:rsid w:val="0033640E"/>
    <w:rPr>
      <w:rFonts w:ascii="Tahoma" w:hAnsi="Tahoma" w:cs="Tahoma"/>
      <w:sz w:val="16"/>
      <w:szCs w:val="16"/>
    </w:rPr>
  </w:style>
  <w:style w:type="character" w:styleId="Emphasis">
    <w:name w:val="Emphasis"/>
    <w:basedOn w:val="DefaultParagraphFont"/>
    <w:uiPriority w:val="20"/>
    <w:qFormat/>
    <w:rsid w:val="00E35021"/>
    <w:rPr>
      <w:i/>
      <w:iCs/>
    </w:rPr>
  </w:style>
  <w:style w:type="table" w:styleId="TableGrid">
    <w:name w:val="Table Grid"/>
    <w:basedOn w:val="TableNormal"/>
    <w:uiPriority w:val="59"/>
    <w:rsid w:val="00E350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1D"/>
    <w:rPr>
      <w:rFonts w:ascii="Calibri" w:hAnsi="Calibri"/>
      <w:sz w:val="22"/>
      <w:szCs w:val="24"/>
    </w:rPr>
  </w:style>
  <w:style w:type="paragraph" w:styleId="Heading1">
    <w:name w:val="heading 1"/>
    <w:basedOn w:val="Normal"/>
    <w:next w:val="Normal"/>
    <w:qFormat/>
    <w:rsid w:val="005D1705"/>
    <w:pPr>
      <w:keepNext/>
      <w:keepLines/>
      <w:numPr>
        <w:numId w:val="1"/>
      </w:numPr>
      <w:pBdr>
        <w:bottom w:val="single" w:sz="4" w:space="1" w:color="auto"/>
      </w:pBdr>
      <w:outlineLvl w:val="0"/>
    </w:pPr>
    <w:rPr>
      <w:rFonts w:cs="Arial"/>
      <w:b/>
      <w:bCs/>
    </w:rPr>
  </w:style>
  <w:style w:type="paragraph" w:styleId="Heading2">
    <w:name w:val="heading 2"/>
    <w:basedOn w:val="Normal"/>
    <w:next w:val="Normal"/>
    <w:qFormat/>
    <w:rsid w:val="009F0404"/>
    <w:pPr>
      <w:keepNext/>
      <w:keepLines/>
      <w:numPr>
        <w:ilvl w:val="1"/>
        <w:numId w:val="1"/>
      </w:numPr>
      <w:outlineLvl w:val="1"/>
    </w:pPr>
    <w:rPr>
      <w:rFonts w:cs="Arial"/>
      <w:b/>
      <w:bCs/>
      <w:iCs/>
      <w:szCs w:val="28"/>
    </w:rPr>
  </w:style>
  <w:style w:type="paragraph" w:styleId="Heading3">
    <w:name w:val="heading 3"/>
    <w:basedOn w:val="Normal"/>
    <w:next w:val="Normal"/>
    <w:qFormat/>
    <w:rsid w:val="009F0404"/>
    <w:pPr>
      <w:keepNext/>
      <w:keepLines/>
      <w:numPr>
        <w:ilvl w:val="2"/>
        <w:numId w:val="1"/>
      </w:numPr>
      <w:outlineLvl w:val="2"/>
    </w:pPr>
    <w:rPr>
      <w:rFonts w:cs="Arial"/>
      <w:b/>
      <w:bCs/>
      <w:i/>
      <w:szCs w:val="26"/>
    </w:rPr>
  </w:style>
  <w:style w:type="paragraph" w:styleId="Heading4">
    <w:name w:val="heading 4"/>
    <w:basedOn w:val="Normal"/>
    <w:next w:val="Normal"/>
    <w:qFormat/>
    <w:rsid w:val="00985B64"/>
    <w:pPr>
      <w:keepNext/>
      <w:numPr>
        <w:ilvl w:val="3"/>
        <w:numId w:val="1"/>
      </w:numPr>
      <w:spacing w:before="240" w:after="60"/>
      <w:outlineLvl w:val="3"/>
    </w:pPr>
    <w:rPr>
      <w:b/>
      <w:bCs/>
      <w:sz w:val="28"/>
      <w:szCs w:val="28"/>
    </w:rPr>
  </w:style>
  <w:style w:type="paragraph" w:styleId="Heading5">
    <w:name w:val="heading 5"/>
    <w:basedOn w:val="Normal"/>
    <w:next w:val="Normal"/>
    <w:qFormat/>
    <w:rsid w:val="00985B64"/>
    <w:pPr>
      <w:numPr>
        <w:ilvl w:val="4"/>
        <w:numId w:val="1"/>
      </w:numPr>
      <w:spacing w:before="240" w:after="60"/>
      <w:outlineLvl w:val="4"/>
    </w:pPr>
    <w:rPr>
      <w:b/>
      <w:bCs/>
      <w:i/>
      <w:iCs/>
      <w:sz w:val="26"/>
      <w:szCs w:val="26"/>
    </w:rPr>
  </w:style>
  <w:style w:type="paragraph" w:styleId="Heading6">
    <w:name w:val="heading 6"/>
    <w:basedOn w:val="Normal"/>
    <w:next w:val="Normal"/>
    <w:qFormat/>
    <w:rsid w:val="00985B64"/>
    <w:pPr>
      <w:numPr>
        <w:ilvl w:val="5"/>
        <w:numId w:val="1"/>
      </w:numPr>
      <w:spacing w:before="240" w:after="60"/>
      <w:outlineLvl w:val="5"/>
    </w:pPr>
    <w:rPr>
      <w:b/>
      <w:bCs/>
      <w:szCs w:val="22"/>
    </w:rPr>
  </w:style>
  <w:style w:type="paragraph" w:styleId="Heading7">
    <w:name w:val="heading 7"/>
    <w:basedOn w:val="Normal"/>
    <w:next w:val="Normal"/>
    <w:qFormat/>
    <w:rsid w:val="00985B64"/>
    <w:pPr>
      <w:numPr>
        <w:ilvl w:val="6"/>
        <w:numId w:val="1"/>
      </w:numPr>
      <w:spacing w:before="240" w:after="60"/>
      <w:outlineLvl w:val="6"/>
    </w:pPr>
    <w:rPr>
      <w:sz w:val="24"/>
    </w:rPr>
  </w:style>
  <w:style w:type="paragraph" w:styleId="Heading8">
    <w:name w:val="heading 8"/>
    <w:basedOn w:val="Normal"/>
    <w:next w:val="Normal"/>
    <w:qFormat/>
    <w:rsid w:val="00985B64"/>
    <w:pPr>
      <w:numPr>
        <w:ilvl w:val="7"/>
        <w:numId w:val="1"/>
      </w:numPr>
      <w:spacing w:before="240" w:after="60"/>
      <w:outlineLvl w:val="7"/>
    </w:pPr>
    <w:rPr>
      <w:i/>
      <w:iCs/>
      <w:sz w:val="24"/>
    </w:rPr>
  </w:style>
  <w:style w:type="paragraph" w:styleId="Heading9">
    <w:name w:val="heading 9"/>
    <w:basedOn w:val="Normal"/>
    <w:next w:val="Normal"/>
    <w:qFormat/>
    <w:rsid w:val="00985B6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
    <w:name w:val="aaa"/>
    <w:basedOn w:val="Normal"/>
    <w:rsid w:val="00D45E25"/>
    <w:pPr>
      <w:spacing w:line="280" w:lineRule="atLeast"/>
    </w:pPr>
    <w:rPr>
      <w:rFonts w:ascii="Courier" w:hAnsi="Courier"/>
      <w:lang w:eastAsia="en-US"/>
    </w:rPr>
  </w:style>
  <w:style w:type="paragraph" w:styleId="Footer">
    <w:name w:val="footer"/>
    <w:basedOn w:val="Normal"/>
    <w:rsid w:val="00A706E5"/>
    <w:pPr>
      <w:tabs>
        <w:tab w:val="left" w:pos="851"/>
        <w:tab w:val="right" w:pos="7088"/>
      </w:tabs>
    </w:pPr>
    <w:rPr>
      <w:i/>
      <w:sz w:val="20"/>
    </w:rPr>
  </w:style>
  <w:style w:type="paragraph" w:customStyle="1" w:styleId="Heading1nonum">
    <w:name w:val="Heading 1 (no num)"/>
    <w:basedOn w:val="Normal"/>
    <w:next w:val="Normal"/>
    <w:rsid w:val="00C83CD1"/>
    <w:pPr>
      <w:keepNext/>
      <w:keepLines/>
      <w:pBdr>
        <w:bottom w:val="single" w:sz="4" w:space="1" w:color="auto"/>
      </w:pBdr>
      <w:outlineLvl w:val="0"/>
    </w:pPr>
    <w:rPr>
      <w:b/>
    </w:rPr>
  </w:style>
  <w:style w:type="paragraph" w:customStyle="1" w:styleId="Heading2nonum">
    <w:name w:val="Heading 2 (no num)"/>
    <w:basedOn w:val="Normal"/>
    <w:next w:val="Normal"/>
    <w:rsid w:val="00C83CD1"/>
    <w:pPr>
      <w:keepNext/>
      <w:keepLines/>
      <w:outlineLvl w:val="1"/>
    </w:pPr>
    <w:rPr>
      <w:b/>
    </w:rPr>
  </w:style>
  <w:style w:type="paragraph" w:customStyle="1" w:styleId="Heading3nonum">
    <w:name w:val="Heading 3 (no num)"/>
    <w:basedOn w:val="Normal"/>
    <w:next w:val="Normal"/>
    <w:rsid w:val="00C83CD1"/>
    <w:pPr>
      <w:keepNext/>
      <w:keepLines/>
      <w:outlineLvl w:val="2"/>
    </w:pPr>
    <w:rPr>
      <w:b/>
      <w:i/>
    </w:rPr>
  </w:style>
  <w:style w:type="paragraph" w:styleId="ListNumber">
    <w:name w:val="List Number"/>
    <w:basedOn w:val="Normal"/>
    <w:rsid w:val="00A1586E"/>
    <w:pPr>
      <w:numPr>
        <w:numId w:val="5"/>
      </w:numPr>
    </w:pPr>
  </w:style>
  <w:style w:type="paragraph" w:styleId="ListBullet">
    <w:name w:val="List Bullet"/>
    <w:basedOn w:val="Normal"/>
    <w:rsid w:val="009C5E49"/>
    <w:pPr>
      <w:numPr>
        <w:numId w:val="2"/>
      </w:numPr>
    </w:pPr>
  </w:style>
  <w:style w:type="paragraph" w:styleId="Header">
    <w:name w:val="header"/>
    <w:basedOn w:val="Normal"/>
    <w:rsid w:val="00B378EF"/>
    <w:pPr>
      <w:tabs>
        <w:tab w:val="center" w:pos="4320"/>
        <w:tab w:val="right" w:pos="8640"/>
      </w:tabs>
    </w:pPr>
  </w:style>
  <w:style w:type="paragraph" w:customStyle="1" w:styleId="DateAndRef">
    <w:name w:val="DateAndRef"/>
    <w:basedOn w:val="Normal"/>
    <w:next w:val="Normal"/>
    <w:rsid w:val="00651FEB"/>
    <w:pPr>
      <w:jc w:val="right"/>
    </w:pPr>
  </w:style>
  <w:style w:type="paragraph" w:styleId="Title">
    <w:name w:val="Title"/>
    <w:basedOn w:val="Normal"/>
    <w:link w:val="TitleChar"/>
    <w:qFormat/>
    <w:rsid w:val="00985B64"/>
    <w:rPr>
      <w:rFonts w:cs="Arial"/>
      <w:b/>
      <w:bCs/>
      <w:sz w:val="32"/>
      <w:szCs w:val="32"/>
    </w:rPr>
  </w:style>
  <w:style w:type="numbering" w:styleId="111111">
    <w:name w:val="Outline List 2"/>
    <w:basedOn w:val="NoList"/>
    <w:rsid w:val="009C5517"/>
    <w:pPr>
      <w:numPr>
        <w:numId w:val="3"/>
      </w:numPr>
    </w:pPr>
  </w:style>
  <w:style w:type="numbering" w:customStyle="1" w:styleId="StyleNumbered">
    <w:name w:val="Style Numbered"/>
    <w:basedOn w:val="NoList"/>
    <w:rsid w:val="00694B9F"/>
    <w:pPr>
      <w:numPr>
        <w:numId w:val="4"/>
      </w:numPr>
    </w:pPr>
  </w:style>
  <w:style w:type="paragraph" w:customStyle="1" w:styleId="Title2">
    <w:name w:val="Title 2"/>
    <w:basedOn w:val="Heading1nonum"/>
    <w:next w:val="Normal"/>
    <w:rsid w:val="006C6F16"/>
    <w:pPr>
      <w:outlineLvl w:val="9"/>
    </w:pPr>
  </w:style>
  <w:style w:type="paragraph" w:customStyle="1" w:styleId="MarginText">
    <w:name w:val="Margin Text"/>
    <w:basedOn w:val="Normal"/>
    <w:rsid w:val="007B7459"/>
    <w:pPr>
      <w:framePr w:w="2268" w:wrap="around" w:vAnchor="text" w:hAnchor="page" w:x="9073" w:y="1"/>
    </w:pPr>
  </w:style>
  <w:style w:type="paragraph" w:customStyle="1" w:styleId="Listwbullets">
    <w:name w:val="List w. bullets"/>
    <w:basedOn w:val="Normal"/>
    <w:rsid w:val="006B6FBC"/>
    <w:pPr>
      <w:numPr>
        <w:numId w:val="6"/>
      </w:numPr>
    </w:pPr>
  </w:style>
  <w:style w:type="paragraph" w:customStyle="1" w:styleId="Listwnumbers">
    <w:name w:val="List w. numbers"/>
    <w:basedOn w:val="Normal"/>
    <w:rsid w:val="006B6FBC"/>
    <w:pPr>
      <w:numPr>
        <w:numId w:val="7"/>
      </w:numPr>
    </w:pPr>
  </w:style>
  <w:style w:type="paragraph" w:customStyle="1" w:styleId="MeetingStationary">
    <w:name w:val="Meeting Stationary"/>
    <w:basedOn w:val="Normal"/>
    <w:rsid w:val="004922C6"/>
    <w:pPr>
      <w:tabs>
        <w:tab w:val="left" w:pos="1361"/>
        <w:tab w:val="left" w:pos="3827"/>
        <w:tab w:val="left" w:pos="4536"/>
      </w:tabs>
      <w:ind w:left="1361" w:hanging="1361"/>
    </w:pPr>
  </w:style>
  <w:style w:type="paragraph" w:customStyle="1" w:styleId="CCstationary">
    <w:name w:val="CC stationary"/>
    <w:basedOn w:val="Normal"/>
    <w:next w:val="Normal"/>
    <w:rsid w:val="009A5463"/>
    <w:pPr>
      <w:ind w:left="851" w:hanging="851"/>
    </w:pPr>
    <w:rPr>
      <w:i/>
      <w:szCs w:val="22"/>
    </w:rPr>
  </w:style>
  <w:style w:type="paragraph" w:customStyle="1" w:styleId="Title-Telefax">
    <w:name w:val="Title - Telefax"/>
    <w:basedOn w:val="Title"/>
    <w:next w:val="Normal"/>
    <w:rsid w:val="009608C5"/>
    <w:rPr>
      <w:caps/>
      <w:spacing w:val="60"/>
    </w:rPr>
  </w:style>
  <w:style w:type="paragraph" w:customStyle="1" w:styleId="Faxstationary">
    <w:name w:val="Fax stationary"/>
    <w:basedOn w:val="Normal"/>
    <w:next w:val="Normal"/>
    <w:rsid w:val="00345CD8"/>
    <w:pPr>
      <w:pBdr>
        <w:left w:val="single" w:sz="4" w:space="0" w:color="auto"/>
        <w:bottom w:val="single" w:sz="4" w:space="0" w:color="auto"/>
        <w:right w:val="single" w:sz="4" w:space="0" w:color="auto"/>
      </w:pBdr>
      <w:tabs>
        <w:tab w:val="left" w:pos="1361"/>
        <w:tab w:val="left" w:pos="4536"/>
        <w:tab w:val="left" w:pos="5387"/>
      </w:tabs>
      <w:ind w:left="1361" w:hanging="1361"/>
    </w:pPr>
    <w:rPr>
      <w:lang w:val="en-US"/>
    </w:rPr>
  </w:style>
  <w:style w:type="paragraph" w:customStyle="1" w:styleId="Faxinfo-boxes">
    <w:name w:val="Fax info-boxes"/>
    <w:basedOn w:val="Faxstationary"/>
    <w:next w:val="Normal"/>
    <w:rsid w:val="00EF4A8A"/>
    <w:pPr>
      <w:pBdr>
        <w:top w:val="single" w:sz="4" w:space="1" w:color="auto"/>
        <w:bottom w:val="none" w:sz="0" w:space="0" w:color="auto"/>
      </w:pBdr>
      <w:tabs>
        <w:tab w:val="clear" w:pos="1361"/>
        <w:tab w:val="clear" w:pos="4536"/>
        <w:tab w:val="clear" w:pos="5387"/>
        <w:tab w:val="left" w:pos="1701"/>
        <w:tab w:val="left" w:pos="3402"/>
        <w:tab w:val="left" w:pos="5245"/>
      </w:tabs>
      <w:ind w:left="0" w:firstLine="0"/>
    </w:pPr>
  </w:style>
  <w:style w:type="paragraph" w:customStyle="1" w:styleId="Title2-TOC">
    <w:name w:val="Title 2 - TOC"/>
    <w:basedOn w:val="Title2"/>
    <w:next w:val="Normal"/>
    <w:rsid w:val="009F057B"/>
    <w:pPr>
      <w:tabs>
        <w:tab w:val="right" w:pos="7019"/>
      </w:tabs>
    </w:pPr>
  </w:style>
  <w:style w:type="character" w:styleId="Hyperlink">
    <w:name w:val="Hyperlink"/>
    <w:basedOn w:val="DefaultParagraphFont"/>
    <w:rsid w:val="003078FF"/>
    <w:rPr>
      <w:color w:val="0000FF"/>
      <w:u w:val="single"/>
    </w:rPr>
  </w:style>
  <w:style w:type="paragraph" w:styleId="TOC1">
    <w:name w:val="toc 1"/>
    <w:basedOn w:val="Normal"/>
    <w:next w:val="Normal"/>
    <w:autoRedefine/>
    <w:semiHidden/>
    <w:rsid w:val="009F057B"/>
  </w:style>
  <w:style w:type="paragraph" w:styleId="Subtitle">
    <w:name w:val="Subtitle"/>
    <w:basedOn w:val="Normal"/>
    <w:link w:val="SubtitleChar"/>
    <w:qFormat/>
    <w:rsid w:val="00D42BE4"/>
    <w:pPr>
      <w:spacing w:before="120"/>
      <w:jc w:val="center"/>
    </w:pPr>
    <w:rPr>
      <w:rFonts w:ascii="Tahoma" w:eastAsia="Times" w:hAnsi="Tahoma"/>
      <w:b/>
      <w:sz w:val="24"/>
      <w:szCs w:val="20"/>
      <w:lang w:val="en-US" w:eastAsia="en-US"/>
    </w:rPr>
  </w:style>
  <w:style w:type="paragraph" w:customStyle="1" w:styleId="TableHeading">
    <w:name w:val="Table Heading"/>
    <w:basedOn w:val="Heading2"/>
    <w:rsid w:val="00D42BE4"/>
    <w:pPr>
      <w:keepLines w:val="0"/>
      <w:numPr>
        <w:ilvl w:val="0"/>
        <w:numId w:val="0"/>
      </w:numPr>
      <w:spacing w:before="50" w:after="50"/>
    </w:pPr>
    <w:rPr>
      <w:rFonts w:ascii="Tahoma" w:eastAsia="Times" w:hAnsi="Tahoma" w:cs="Times New Roman"/>
      <w:bCs w:val="0"/>
      <w:iCs w:val="0"/>
      <w:color w:val="FFFFFF"/>
      <w:sz w:val="16"/>
      <w:szCs w:val="20"/>
      <w:lang w:val="en-US" w:eastAsia="en-US"/>
    </w:rPr>
  </w:style>
  <w:style w:type="paragraph" w:customStyle="1" w:styleId="TableContents">
    <w:name w:val="Table Contents"/>
    <w:basedOn w:val="Normal"/>
    <w:rsid w:val="00D42BE4"/>
    <w:pPr>
      <w:spacing w:before="120" w:after="120"/>
    </w:pPr>
    <w:rPr>
      <w:rFonts w:ascii="Tahoma" w:eastAsia="Times" w:hAnsi="Tahoma"/>
      <w:sz w:val="20"/>
      <w:szCs w:val="20"/>
      <w:lang w:val="en-US" w:eastAsia="en-US"/>
    </w:rPr>
  </w:style>
  <w:style w:type="character" w:customStyle="1" w:styleId="SubtitleChar">
    <w:name w:val="Subtitle Char"/>
    <w:basedOn w:val="DefaultParagraphFont"/>
    <w:link w:val="Subtitle"/>
    <w:rsid w:val="00D42BE4"/>
    <w:rPr>
      <w:rFonts w:ascii="Tahoma" w:eastAsia="Times" w:hAnsi="Tahoma"/>
      <w:b/>
      <w:sz w:val="24"/>
      <w:lang w:val="en-US" w:eastAsia="en-US" w:bidi="ar-SA"/>
    </w:rPr>
  </w:style>
  <w:style w:type="character" w:customStyle="1" w:styleId="TitleChar">
    <w:name w:val="Title Char"/>
    <w:basedOn w:val="DefaultParagraphFont"/>
    <w:link w:val="Title"/>
    <w:rsid w:val="009579F2"/>
    <w:rPr>
      <w:rFonts w:cs="Arial"/>
      <w:b/>
      <w:bCs/>
      <w:sz w:val="32"/>
      <w:szCs w:val="32"/>
    </w:rPr>
  </w:style>
  <w:style w:type="character" w:styleId="PlaceholderText">
    <w:name w:val="Placeholder Text"/>
    <w:basedOn w:val="DefaultParagraphFont"/>
    <w:uiPriority w:val="99"/>
    <w:semiHidden/>
    <w:rsid w:val="0033640E"/>
    <w:rPr>
      <w:color w:val="808080"/>
    </w:rPr>
  </w:style>
  <w:style w:type="paragraph" w:styleId="BalloonText">
    <w:name w:val="Balloon Text"/>
    <w:basedOn w:val="Normal"/>
    <w:link w:val="BalloonTextChar"/>
    <w:rsid w:val="0033640E"/>
    <w:rPr>
      <w:rFonts w:ascii="Tahoma" w:hAnsi="Tahoma" w:cs="Tahoma"/>
      <w:sz w:val="16"/>
      <w:szCs w:val="16"/>
    </w:rPr>
  </w:style>
  <w:style w:type="character" w:customStyle="1" w:styleId="BalloonTextChar">
    <w:name w:val="Balloon Text Char"/>
    <w:basedOn w:val="DefaultParagraphFont"/>
    <w:link w:val="BalloonText"/>
    <w:rsid w:val="0033640E"/>
    <w:rPr>
      <w:rFonts w:ascii="Tahoma" w:hAnsi="Tahoma" w:cs="Tahoma"/>
      <w:sz w:val="16"/>
      <w:szCs w:val="16"/>
    </w:rPr>
  </w:style>
  <w:style w:type="character" w:styleId="Emphasis">
    <w:name w:val="Emphasis"/>
    <w:basedOn w:val="DefaultParagraphFont"/>
    <w:uiPriority w:val="20"/>
    <w:qFormat/>
    <w:rsid w:val="00E35021"/>
    <w:rPr>
      <w:i/>
      <w:iCs/>
    </w:rPr>
  </w:style>
  <w:style w:type="table" w:styleId="TableGrid">
    <w:name w:val="Table Grid"/>
    <w:basedOn w:val="TableNormal"/>
    <w:uiPriority w:val="59"/>
    <w:rsid w:val="00E350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nt1file01\j-drev$\Microsoft\Office2010\NewTemplate\DA\Anl\Pressemeddelels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Template>
  <TotalTime>0</TotalTime>
  <Pages>3</Pages>
  <Words>491</Words>
  <Characters>2997</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Fischer &amp; Kerrn A/S</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Holmqvist</dc:creator>
  <cp:lastModifiedBy>Ole Poulsen</cp:lastModifiedBy>
  <cp:revision>2</cp:revision>
  <dcterms:created xsi:type="dcterms:W3CDTF">2015-01-30T08:30:00Z</dcterms:created>
  <dcterms:modified xsi:type="dcterms:W3CDTF">2015-01-30T08:30:00Z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Dato">
    <vt:lpwstr>14. januar 2015</vt:lpwstr>
  </property>
  <property fmtid="{D5CDD505-2E9C-101B-9397-08002B2CF9AE}" pid="3" name="Initialer">
    <vt:lpwstr>Initialer</vt:lpwstr>
  </property>
  <property fmtid="{D5CDD505-2E9C-101B-9397-08002B2CF9AE}" pid="4" name="DocDate">
    <vt:lpwstr>14-01-2015</vt:lpwstr>
  </property>
</Properties>
</file>