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tblLook w:val="04A0" w:firstRow="1" w:lastRow="0" w:firstColumn="1" w:lastColumn="0" w:noHBand="0" w:noVBand="1"/>
      </w:tblPr>
      <w:tblGrid>
        <w:gridCol w:w="1594"/>
        <w:gridCol w:w="8544"/>
      </w:tblGrid>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bookmarkStart w:id="0" w:name="RANGE!A1:B40"/>
            <w:bookmarkStart w:id="1" w:name="_GoBack"/>
            <w:bookmarkEnd w:id="1"/>
            <w:r w:rsidRPr="00EE3BFA">
              <w:rPr>
                <w:rFonts w:ascii="Calibri" w:eastAsia="Times New Roman" w:hAnsi="Calibri" w:cs="Times New Roman"/>
                <w:color w:val="000000"/>
              </w:rPr>
              <w:t> </w:t>
            </w:r>
            <w:bookmarkEnd w:id="0"/>
          </w:p>
        </w:tc>
        <w:tc>
          <w:tcPr>
            <w:tcW w:w="867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auto" w:fill="auto"/>
            <w:noWrap/>
            <w:vAlign w:val="bottom"/>
            <w:hideMark/>
          </w:tcPr>
          <w:p w:rsidR="00EE3BFA" w:rsidRPr="00EE3BFA" w:rsidRDefault="00EE3BFA" w:rsidP="00EE3BFA">
            <w:pPr>
              <w:spacing w:after="0" w:line="240" w:lineRule="auto"/>
              <w:rPr>
                <w:rFonts w:ascii="Calibri" w:eastAsia="Times New Roman" w:hAnsi="Calibri" w:cs="Times New Roman"/>
                <w:color w:val="000000"/>
              </w:rPr>
            </w:pP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r>
      <w:tr w:rsidR="00EE3BFA" w:rsidRPr="00EE3BFA" w:rsidTr="00EE3BFA">
        <w:trPr>
          <w:trHeight w:val="600"/>
        </w:trPr>
        <w:tc>
          <w:tcPr>
            <w:tcW w:w="1416" w:type="dxa"/>
            <w:tcBorders>
              <w:top w:val="nil"/>
              <w:left w:val="nil"/>
              <w:bottom w:val="nil"/>
              <w:right w:val="nil"/>
            </w:tcBorders>
            <w:shd w:val="clear" w:color="auto" w:fill="auto"/>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noProof/>
                <w:color w:val="000000"/>
                <w:lang w:val="da-DK" w:eastAsia="da-DK"/>
              </w:rPr>
              <w:drawing>
                <wp:anchor distT="0" distB="0" distL="114300" distR="114300" simplePos="0" relativeHeight="251658240" behindDoc="0" locked="0" layoutInCell="1" allowOverlap="1">
                  <wp:simplePos x="0" y="0"/>
                  <wp:positionH relativeFrom="column">
                    <wp:posOffset>69850</wp:posOffset>
                  </wp:positionH>
                  <wp:positionV relativeFrom="paragraph">
                    <wp:posOffset>298450</wp:posOffset>
                  </wp:positionV>
                  <wp:extent cx="685800" cy="419100"/>
                  <wp:effectExtent l="0" t="0" r="0" b="0"/>
                  <wp:wrapNone/>
                  <wp:docPr id="5" name="Picture 5" descr="Q:\Corporate\Accounts\2012\Endelige filer til regnskabet\logo only.gif"/>
                  <wp:cNvGraphicFramePr/>
                  <a:graphic xmlns:a="http://schemas.openxmlformats.org/drawingml/2006/main">
                    <a:graphicData uri="http://schemas.openxmlformats.org/drawingml/2006/picture">
                      <pic:pic xmlns:pic="http://schemas.openxmlformats.org/drawingml/2006/picture">
                        <pic:nvPicPr>
                          <pic:cNvPr id="5" name="Picture 4" descr="Q:\Corporate\Accounts\2012\Endelige filer til regnskabet\logo only.gif"/>
                          <pic:cNvPicPr>
                            <a:picLocks noChangeAspect="1" noChangeArrowheads="1"/>
                          </pic:cNvPicPr>
                        </pic:nvPicPr>
                        <pic:blipFill rotWithShape="1">
                          <a:blip r:embed="rId9">
                            <a:extLst>
                              <a:ext uri="{28A0092B-C50C-407E-A947-70E740481C1C}">
                                <a14:useLocalDpi xmlns:a14="http://schemas.microsoft.com/office/drawing/2010/main" val="0"/>
                              </a:ext>
                            </a:extLst>
                          </a:blip>
                          <a:srcRect l="15747" r="-15747"/>
                          <a:stretch/>
                        </pic:blipFill>
                        <pic:spPr bwMode="auto">
                          <a:xfrm>
                            <a:off x="0" y="0"/>
                            <a:ext cx="689113" cy="419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78"/>
            </w:tblGrid>
            <w:tr w:rsidR="00EE3BFA" w:rsidRPr="00EE3BFA">
              <w:trPr>
                <w:trHeight w:val="600"/>
                <w:tblCellSpacing w:w="0" w:type="dxa"/>
              </w:trPr>
              <w:tc>
                <w:tcPr>
                  <w:tcW w:w="1400"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r>
          </w:tbl>
          <w:p w:rsidR="00EE3BFA" w:rsidRPr="00EE3BFA" w:rsidRDefault="00EE3BFA" w:rsidP="00EE3BFA">
            <w:pPr>
              <w:spacing w:after="0" w:line="240" w:lineRule="auto"/>
              <w:rPr>
                <w:rFonts w:ascii="Calibri" w:eastAsia="Times New Roman" w:hAnsi="Calibri" w:cs="Times New Roman"/>
                <w:color w:val="000000"/>
              </w:rPr>
            </w:pP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r>
      <w:tr w:rsidR="00EE3BFA" w:rsidRPr="00EE3BFA" w:rsidTr="00EE3BFA">
        <w:trPr>
          <w:trHeight w:val="3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16365C"/>
                <w:sz w:val="32"/>
                <w:szCs w:val="32"/>
              </w:rPr>
            </w:pPr>
            <w:r w:rsidRPr="00EE3BFA">
              <w:rPr>
                <w:rFonts w:ascii="Verdana" w:eastAsia="Times New Roman" w:hAnsi="Verdana" w:cs="Times New Roman"/>
                <w:b/>
                <w:bCs/>
                <w:color w:val="16365C"/>
                <w:sz w:val="32"/>
                <w:szCs w:val="32"/>
              </w:rPr>
              <w:t xml:space="preserve">NORDIC </w:t>
            </w:r>
            <w:r w:rsidRPr="00EE3BFA">
              <w:rPr>
                <w:rFonts w:ascii="Verdana" w:eastAsia="Times New Roman" w:hAnsi="Verdana" w:cs="Times New Roman"/>
                <w:color w:val="16365C"/>
                <w:sz w:val="32"/>
                <w:szCs w:val="32"/>
              </w:rPr>
              <w:t>SHIPHOLDING</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290"/>
        </w:trPr>
        <w:tc>
          <w:tcPr>
            <w:tcW w:w="1416" w:type="dxa"/>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Calibri" w:eastAsia="Times New Roman" w:hAnsi="Calibri" w:cs="Times New Roman"/>
                <w:color w:val="000000"/>
              </w:rPr>
            </w:pPr>
            <w:r w:rsidRPr="00EE3BFA">
              <w:rPr>
                <w:rFonts w:ascii="Calibri" w:eastAsia="Times New Roman" w:hAnsi="Calibri" w:cs="Times New Roman"/>
                <w:color w:val="000000"/>
              </w:rPr>
              <w:t> </w:t>
            </w:r>
          </w:p>
        </w:tc>
        <w:tc>
          <w:tcPr>
            <w:tcW w:w="8676" w:type="dxa"/>
            <w:tcBorders>
              <w:top w:val="nil"/>
              <w:left w:val="nil"/>
              <w:bottom w:val="nil"/>
              <w:right w:val="nil"/>
            </w:tcBorders>
            <w:shd w:val="clear" w:color="000000" w:fill="FFFFFF"/>
            <w:noWrap/>
            <w:vAlign w:val="center"/>
            <w:hideMark/>
          </w:tcPr>
          <w:p w:rsidR="00EE3BFA" w:rsidRPr="00EE3BFA" w:rsidRDefault="00EE3BFA" w:rsidP="00EE3BFA">
            <w:pPr>
              <w:spacing w:after="0" w:line="240" w:lineRule="auto"/>
              <w:rPr>
                <w:rFonts w:ascii="Verdana" w:eastAsia="Times New Roman" w:hAnsi="Verdana" w:cs="Times New Roman"/>
                <w:b/>
                <w:bCs/>
                <w:color w:val="000000"/>
              </w:rPr>
            </w:pPr>
            <w:r w:rsidRPr="00EE3BFA">
              <w:rPr>
                <w:rFonts w:ascii="Verdana" w:eastAsia="Times New Roman" w:hAnsi="Verdana" w:cs="Times New Roman"/>
                <w:b/>
                <w:bCs/>
                <w:color w:val="000000"/>
              </w:rPr>
              <w:t> </w:t>
            </w:r>
          </w:p>
        </w:tc>
      </w:tr>
      <w:tr w:rsidR="00EE3BFA" w:rsidRPr="00EE3BFA" w:rsidTr="00EE3BFA">
        <w:trPr>
          <w:trHeight w:val="703"/>
        </w:trPr>
        <w:tc>
          <w:tcPr>
            <w:tcW w:w="10092" w:type="dxa"/>
            <w:gridSpan w:val="2"/>
            <w:tcBorders>
              <w:top w:val="nil"/>
              <w:left w:val="nil"/>
              <w:bottom w:val="nil"/>
              <w:right w:val="nil"/>
            </w:tcBorders>
            <w:shd w:val="clear" w:color="000000" w:fill="FFFFFF"/>
            <w:noWrap/>
            <w:vAlign w:val="bottom"/>
            <w:hideMark/>
          </w:tcPr>
          <w:p w:rsidR="00EE3BFA" w:rsidRPr="00EE3BFA" w:rsidRDefault="00EE3BFA" w:rsidP="00EE3BFA">
            <w:pPr>
              <w:spacing w:after="0" w:line="240" w:lineRule="auto"/>
              <w:rPr>
                <w:rFonts w:ascii="Verdana" w:eastAsia="Times New Roman" w:hAnsi="Verdana" w:cs="Times New Roman"/>
                <w:b/>
                <w:bCs/>
                <w:color w:val="16365C"/>
                <w:sz w:val="48"/>
                <w:szCs w:val="48"/>
              </w:rPr>
            </w:pPr>
            <w:r w:rsidRPr="00EE3BFA">
              <w:rPr>
                <w:rFonts w:ascii="Verdana" w:eastAsia="Times New Roman" w:hAnsi="Verdana" w:cs="Times New Roman"/>
                <w:color w:val="16365C"/>
                <w:sz w:val="48"/>
                <w:szCs w:val="48"/>
              </w:rPr>
              <w:t>ANNUAL REPORT</w:t>
            </w:r>
            <w:r w:rsidRPr="00EE3BFA">
              <w:rPr>
                <w:rFonts w:ascii="Verdana" w:eastAsia="Times New Roman" w:hAnsi="Verdana" w:cs="Times New Roman"/>
                <w:b/>
                <w:bCs/>
                <w:color w:val="16365C"/>
                <w:sz w:val="48"/>
                <w:szCs w:val="48"/>
              </w:rPr>
              <w:t xml:space="preserve"> 2013</w:t>
            </w:r>
          </w:p>
        </w:tc>
      </w:tr>
    </w:tbl>
    <w:p w:rsidR="00AC4A75" w:rsidRDefault="00AC4A75">
      <w:pPr>
        <w:rPr>
          <w:rFonts w:ascii="Verdana" w:hAnsi="Verdana"/>
          <w:b/>
        </w:rPr>
      </w:pPr>
    </w:p>
    <w:p w:rsidR="00C437BD" w:rsidRDefault="00C437BD" w:rsidP="00C437BD">
      <w:pPr>
        <w:pStyle w:val="Footer"/>
        <w:rPr>
          <w:lang w:val="da-DK"/>
        </w:rPr>
      </w:pPr>
    </w:p>
    <w:p w:rsidR="00C437BD" w:rsidRDefault="00C437BD" w:rsidP="00C437BD">
      <w:pPr>
        <w:pStyle w:val="Footer"/>
        <w:rPr>
          <w:lang w:val="da-DK"/>
        </w:rPr>
      </w:pPr>
    </w:p>
    <w:p w:rsidR="00C437BD" w:rsidRDefault="00C437BD" w:rsidP="00C437BD">
      <w:pPr>
        <w:pStyle w:val="Footer"/>
        <w:rPr>
          <w:lang w:val="da-DK"/>
        </w:rPr>
      </w:pPr>
    </w:p>
    <w:p w:rsidR="00C437BD" w:rsidRDefault="00C437BD" w:rsidP="00C437BD">
      <w:pPr>
        <w:pStyle w:val="Footer"/>
        <w:rPr>
          <w:lang w:val="da-DK"/>
        </w:rPr>
      </w:pPr>
    </w:p>
    <w:p w:rsidR="00C437BD" w:rsidRPr="00D86CA6" w:rsidRDefault="00C437BD" w:rsidP="00C437BD">
      <w:pPr>
        <w:pStyle w:val="Footer"/>
        <w:rPr>
          <w:lang w:val="da-DK"/>
        </w:rPr>
      </w:pPr>
      <w:r>
        <w:rPr>
          <w:lang w:val="da-DK"/>
        </w:rPr>
        <w:t>CVR-no.: 76351716</w:t>
      </w:r>
    </w:p>
    <w:p w:rsidR="00C437BD" w:rsidRDefault="00C437BD" w:rsidP="00D86CA6">
      <w:pPr>
        <w:rPr>
          <w:rFonts w:ascii="Verdana" w:hAnsi="Verdana"/>
          <w:b/>
        </w:rPr>
      </w:pPr>
    </w:p>
    <w:p w:rsidR="005953C2" w:rsidRDefault="00B042E8">
      <w:r w:rsidRPr="00B042E8">
        <w:rPr>
          <w:noProof/>
          <w:lang w:val="da-DK" w:eastAsia="da-DK"/>
        </w:rPr>
        <w:drawing>
          <wp:inline distT="0" distB="0" distL="0" distR="0">
            <wp:extent cx="6300470" cy="5808381"/>
            <wp:effectExtent l="0" t="0" r="508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5808381"/>
                    </a:xfrm>
                    <a:prstGeom prst="rect">
                      <a:avLst/>
                    </a:prstGeom>
                    <a:noFill/>
                    <a:ln>
                      <a:noFill/>
                    </a:ln>
                  </pic:spPr>
                </pic:pic>
              </a:graphicData>
            </a:graphic>
          </wp:inline>
        </w:drawing>
      </w:r>
    </w:p>
    <w:p w:rsidR="005953C2" w:rsidRDefault="005953C2">
      <w:pPr>
        <w:rPr>
          <w:rFonts w:ascii="Verdana" w:hAnsi="Verdana"/>
          <w:b/>
        </w:rPr>
      </w:pPr>
    </w:p>
    <w:p w:rsidR="005953C2" w:rsidRDefault="005953C2">
      <w:pPr>
        <w:rPr>
          <w:rFonts w:ascii="Verdana" w:hAnsi="Verdana"/>
          <w:b/>
        </w:rPr>
      </w:pPr>
      <w:r>
        <w:rPr>
          <w:rFonts w:ascii="Verdana" w:hAnsi="Verdana"/>
          <w:b/>
        </w:rPr>
        <w:br w:type="page"/>
      </w:r>
    </w:p>
    <w:p w:rsidR="0095519A" w:rsidRDefault="00217D49">
      <w:r w:rsidRPr="00217D49">
        <w:rPr>
          <w:noProof/>
          <w:lang w:val="da-DK" w:eastAsia="da-DK"/>
        </w:rPr>
        <w:lastRenderedPageBreak/>
        <w:drawing>
          <wp:inline distT="0" distB="0" distL="0" distR="0">
            <wp:extent cx="6300470" cy="5960854"/>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5960854"/>
                    </a:xfrm>
                    <a:prstGeom prst="rect">
                      <a:avLst/>
                    </a:prstGeom>
                    <a:noFill/>
                    <a:ln>
                      <a:noFill/>
                    </a:ln>
                  </pic:spPr>
                </pic:pic>
              </a:graphicData>
            </a:graphic>
          </wp:inline>
        </w:drawing>
      </w:r>
    </w:p>
    <w:p w:rsidR="0095519A" w:rsidRDefault="0095519A">
      <w:r>
        <w:br w:type="page"/>
      </w:r>
    </w:p>
    <w:p w:rsidR="001E0E6A" w:rsidRDefault="004545F2">
      <w:r w:rsidRPr="004545F2">
        <w:rPr>
          <w:noProof/>
          <w:lang w:val="da-DK" w:eastAsia="da-DK"/>
        </w:rPr>
        <w:lastRenderedPageBreak/>
        <w:drawing>
          <wp:inline distT="0" distB="0" distL="0" distR="0">
            <wp:extent cx="6300470" cy="640232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6402327"/>
                    </a:xfrm>
                    <a:prstGeom prst="rect">
                      <a:avLst/>
                    </a:prstGeom>
                    <a:noFill/>
                    <a:ln>
                      <a:noFill/>
                    </a:ln>
                  </pic:spPr>
                </pic:pic>
              </a:graphicData>
            </a:graphic>
          </wp:inline>
        </w:drawing>
      </w:r>
      <w:r w:rsidR="008D5552" w:rsidRPr="008D5552" w:rsidDel="00C30074">
        <w:t xml:space="preserve"> </w:t>
      </w:r>
    </w:p>
    <w:p w:rsidR="00AC4A75" w:rsidRDefault="00AC4A75">
      <w:r>
        <w:br w:type="page"/>
      </w:r>
    </w:p>
    <w:p w:rsidR="009B3C60" w:rsidRPr="00D23D11" w:rsidRDefault="009B3C60" w:rsidP="009B3C60">
      <w:pPr>
        <w:pStyle w:val="Heading1"/>
        <w:rPr>
          <w:rFonts w:ascii="Verdana" w:hAnsi="Verdana"/>
          <w:color w:val="auto"/>
          <w:sz w:val="40"/>
          <w:szCs w:val="40"/>
          <w:lang w:val="en-GB"/>
        </w:rPr>
      </w:pPr>
      <w:bookmarkStart w:id="2" w:name="_Toc320195181"/>
      <w:r>
        <w:rPr>
          <w:rFonts w:ascii="Verdana" w:hAnsi="Verdana"/>
          <w:color w:val="17365D" w:themeColor="text2" w:themeShade="BF"/>
          <w:sz w:val="40"/>
          <w:szCs w:val="40"/>
          <w:lang w:val="en-GB"/>
        </w:rPr>
        <w:lastRenderedPageBreak/>
        <w:t>2013</w:t>
      </w:r>
      <w:r w:rsidRPr="00D23D11">
        <w:rPr>
          <w:rFonts w:ascii="Verdana" w:hAnsi="Verdana"/>
          <w:color w:val="17365D" w:themeColor="text2" w:themeShade="BF"/>
          <w:sz w:val="40"/>
          <w:szCs w:val="40"/>
          <w:lang w:val="en-GB"/>
        </w:rPr>
        <w:t xml:space="preserve"> in brief</w:t>
      </w:r>
      <w:bookmarkEnd w:id="2"/>
    </w:p>
    <w:p w:rsidR="009B3C60" w:rsidRDefault="009B3C60" w:rsidP="009B3C60">
      <w:pPr>
        <w:jc w:val="both"/>
        <w:rPr>
          <w:rFonts w:ascii="Verdana" w:hAnsi="Verdana" w:cstheme="minorHAnsi"/>
          <w:b/>
          <w:sz w:val="20"/>
          <w:szCs w:val="20"/>
          <w:lang w:val="en-GB"/>
        </w:rPr>
      </w:pPr>
    </w:p>
    <w:p w:rsidR="009B3C60" w:rsidRPr="00F70042" w:rsidRDefault="009B3C60" w:rsidP="009B3C60">
      <w:pPr>
        <w:pStyle w:val="TextMainCharCharCharChar"/>
        <w:numPr>
          <w:ilvl w:val="0"/>
          <w:numId w:val="9"/>
        </w:numPr>
        <w:tabs>
          <w:tab w:val="left" w:pos="1080"/>
        </w:tabs>
        <w:spacing w:line="240" w:lineRule="auto"/>
        <w:ind w:right="-1"/>
        <w:rPr>
          <w:sz w:val="20"/>
          <w:szCs w:val="20"/>
          <w:lang w:val="en-GB"/>
        </w:rPr>
      </w:pPr>
      <w:r w:rsidRPr="00F70042">
        <w:rPr>
          <w:sz w:val="20"/>
          <w:szCs w:val="20"/>
          <w:lang w:val="en-GB"/>
        </w:rPr>
        <w:t xml:space="preserve">Since 2012, the Company </w:t>
      </w:r>
      <w:r w:rsidRPr="00F70042">
        <w:rPr>
          <w:rFonts w:cstheme="minorHAnsi"/>
          <w:sz w:val="20"/>
          <w:szCs w:val="20"/>
        </w:rPr>
        <w:t>has been in a close dialogue with its lending banks</w:t>
      </w:r>
      <w:r w:rsidRPr="00F70042">
        <w:rPr>
          <w:sz w:val="20"/>
          <w:szCs w:val="20"/>
          <w:lang w:val="en-GB"/>
        </w:rPr>
        <w:t xml:space="preserve"> and achieved a temporary moratorium until March 2013, which was extended several times afterwards until 31 December 2013. </w:t>
      </w:r>
    </w:p>
    <w:p w:rsidR="009B3C60" w:rsidRPr="00F70042" w:rsidRDefault="009B3C60" w:rsidP="009B3C60">
      <w:pPr>
        <w:pStyle w:val="TextMainCharCharCharChar"/>
        <w:numPr>
          <w:ilvl w:val="0"/>
          <w:numId w:val="9"/>
        </w:numPr>
        <w:spacing w:line="240" w:lineRule="auto"/>
        <w:ind w:right="-1"/>
        <w:rPr>
          <w:sz w:val="20"/>
          <w:szCs w:val="20"/>
          <w:lang w:val="en-GB"/>
        </w:rPr>
      </w:pPr>
      <w:r w:rsidRPr="00F70042">
        <w:rPr>
          <w:sz w:val="20"/>
          <w:szCs w:val="20"/>
          <w:lang w:val="en-GB"/>
        </w:rPr>
        <w:t xml:space="preserve">On 22 November 2013, the Company </w:t>
      </w:r>
      <w:r>
        <w:rPr>
          <w:sz w:val="20"/>
          <w:szCs w:val="20"/>
          <w:lang w:val="en-GB"/>
        </w:rPr>
        <w:t>announced that it had entered into a restructuring a</w:t>
      </w:r>
      <w:r w:rsidRPr="00F70042">
        <w:rPr>
          <w:sz w:val="20"/>
          <w:szCs w:val="20"/>
          <w:lang w:val="en-GB"/>
        </w:rPr>
        <w:t xml:space="preserve">greement with Nordic Maritime </w:t>
      </w:r>
      <w:r w:rsidR="00843EFE">
        <w:rPr>
          <w:sz w:val="20"/>
          <w:szCs w:val="20"/>
          <w:lang w:val="en-GB"/>
        </w:rPr>
        <w:t>S.á.r.l. (‘</w:t>
      </w:r>
      <w:r>
        <w:rPr>
          <w:sz w:val="20"/>
          <w:szCs w:val="20"/>
          <w:lang w:val="en-GB"/>
        </w:rPr>
        <w:t>Nordic</w:t>
      </w:r>
      <w:r w:rsidR="00843EFE">
        <w:rPr>
          <w:sz w:val="20"/>
          <w:szCs w:val="20"/>
          <w:lang w:val="en-GB"/>
        </w:rPr>
        <w:t xml:space="preserve"> Maritime’</w:t>
      </w:r>
      <w:r>
        <w:rPr>
          <w:sz w:val="20"/>
          <w:szCs w:val="20"/>
          <w:lang w:val="en-GB"/>
        </w:rPr>
        <w:t xml:space="preserve">) </w:t>
      </w:r>
      <w:r w:rsidRPr="00F70042">
        <w:rPr>
          <w:sz w:val="20"/>
          <w:szCs w:val="20"/>
          <w:lang w:val="en-GB"/>
        </w:rPr>
        <w:t>and its lending</w:t>
      </w:r>
      <w:r>
        <w:rPr>
          <w:sz w:val="20"/>
          <w:szCs w:val="20"/>
          <w:lang w:val="en-GB"/>
        </w:rPr>
        <w:t xml:space="preserve"> banks, subject to the fulfilment of certain conditions.</w:t>
      </w:r>
    </w:p>
    <w:p w:rsidR="009B3C60" w:rsidRPr="00F70042" w:rsidRDefault="009B3C60" w:rsidP="009B3C60">
      <w:pPr>
        <w:pStyle w:val="ListParagraph"/>
        <w:numPr>
          <w:ilvl w:val="0"/>
          <w:numId w:val="9"/>
        </w:numPr>
        <w:autoSpaceDE w:val="0"/>
        <w:autoSpaceDN w:val="0"/>
        <w:adjustRightInd w:val="0"/>
        <w:jc w:val="both"/>
        <w:rPr>
          <w:rFonts w:ascii="Verdana" w:hAnsi="Verdana"/>
          <w:sz w:val="20"/>
          <w:szCs w:val="20"/>
        </w:rPr>
      </w:pPr>
      <w:r>
        <w:rPr>
          <w:rFonts w:ascii="Verdana" w:hAnsi="Verdana"/>
          <w:sz w:val="20"/>
          <w:szCs w:val="20"/>
        </w:rPr>
        <w:t>Upon the fulfilment</w:t>
      </w:r>
      <w:r w:rsidRPr="00F70042">
        <w:rPr>
          <w:rFonts w:ascii="Verdana" w:hAnsi="Verdana"/>
          <w:sz w:val="20"/>
          <w:szCs w:val="20"/>
        </w:rPr>
        <w:t xml:space="preserve"> of the</w:t>
      </w:r>
      <w:r>
        <w:rPr>
          <w:rFonts w:ascii="Verdana" w:hAnsi="Verdana"/>
          <w:sz w:val="20"/>
          <w:szCs w:val="20"/>
        </w:rPr>
        <w:t>se conditions, the r</w:t>
      </w:r>
      <w:r w:rsidRPr="00F70042">
        <w:rPr>
          <w:rFonts w:ascii="Verdana" w:hAnsi="Verdana"/>
          <w:sz w:val="20"/>
          <w:szCs w:val="20"/>
        </w:rPr>
        <w:t xml:space="preserve">estructuring was completed on 19 December 2013. As </w:t>
      </w:r>
      <w:r>
        <w:rPr>
          <w:rFonts w:ascii="Verdana" w:hAnsi="Verdana"/>
          <w:sz w:val="20"/>
          <w:szCs w:val="20"/>
        </w:rPr>
        <w:t>part of the r</w:t>
      </w:r>
      <w:r w:rsidRPr="00F70042">
        <w:rPr>
          <w:rFonts w:ascii="Verdana" w:hAnsi="Verdana"/>
          <w:sz w:val="20"/>
          <w:szCs w:val="20"/>
        </w:rPr>
        <w:t>estructuring, a new shareholder structure of the Company was impleme</w:t>
      </w:r>
      <w:r>
        <w:rPr>
          <w:rFonts w:ascii="Verdana" w:hAnsi="Verdana"/>
          <w:sz w:val="20"/>
          <w:szCs w:val="20"/>
        </w:rPr>
        <w:t>nted.  Pre-restructuring s</w:t>
      </w:r>
      <w:r w:rsidRPr="00F70042">
        <w:rPr>
          <w:rFonts w:ascii="Verdana" w:hAnsi="Verdana"/>
          <w:sz w:val="20"/>
          <w:szCs w:val="20"/>
        </w:rPr>
        <w:t>hareholders retained 9.59% ownership of Nordic Shipholding, the lendi</w:t>
      </w:r>
      <w:r w:rsidR="00EA67DF">
        <w:rPr>
          <w:rFonts w:ascii="Verdana" w:hAnsi="Verdana"/>
          <w:sz w:val="20"/>
          <w:szCs w:val="20"/>
        </w:rPr>
        <w:t xml:space="preserve">ng banks obtained </w:t>
      </w:r>
      <w:r w:rsidRPr="00F70042">
        <w:rPr>
          <w:rFonts w:ascii="Verdana" w:hAnsi="Verdana"/>
          <w:sz w:val="20"/>
          <w:szCs w:val="20"/>
        </w:rPr>
        <w:t>14.38% ownership and Nordic Maritime obtained 76.03%.</w:t>
      </w:r>
    </w:p>
    <w:p w:rsidR="009B3C60" w:rsidRPr="00F70042" w:rsidRDefault="009B3C60" w:rsidP="009B3C60">
      <w:pPr>
        <w:pStyle w:val="ListParagraph"/>
        <w:autoSpaceDE w:val="0"/>
        <w:autoSpaceDN w:val="0"/>
        <w:adjustRightInd w:val="0"/>
        <w:ind w:right="-1"/>
        <w:jc w:val="both"/>
        <w:rPr>
          <w:rFonts w:ascii="Verdana" w:hAnsi="Verdana"/>
          <w:sz w:val="20"/>
          <w:szCs w:val="20"/>
        </w:rPr>
      </w:pPr>
    </w:p>
    <w:p w:rsidR="009B3C60" w:rsidRPr="00F70042" w:rsidRDefault="009B3C60" w:rsidP="009B3C60">
      <w:pPr>
        <w:pStyle w:val="ListParagraph"/>
        <w:numPr>
          <w:ilvl w:val="0"/>
          <w:numId w:val="9"/>
        </w:numPr>
        <w:autoSpaceDE w:val="0"/>
        <w:autoSpaceDN w:val="0"/>
        <w:adjustRightInd w:val="0"/>
        <w:ind w:right="-1"/>
        <w:jc w:val="both"/>
        <w:rPr>
          <w:rFonts w:ascii="Verdana" w:hAnsi="Verdana"/>
          <w:sz w:val="20"/>
          <w:szCs w:val="20"/>
        </w:rPr>
      </w:pPr>
      <w:r w:rsidRPr="00F70042">
        <w:rPr>
          <w:rFonts w:ascii="Verdana" w:hAnsi="Verdana"/>
          <w:sz w:val="20"/>
          <w:szCs w:val="20"/>
        </w:rPr>
        <w:t xml:space="preserve">The </w:t>
      </w:r>
      <w:r>
        <w:rPr>
          <w:rFonts w:ascii="Verdana" w:hAnsi="Verdana"/>
          <w:sz w:val="20"/>
          <w:szCs w:val="20"/>
        </w:rPr>
        <w:t>r</w:t>
      </w:r>
      <w:r w:rsidRPr="00F70042">
        <w:rPr>
          <w:rFonts w:ascii="Verdana" w:hAnsi="Verdana"/>
          <w:sz w:val="20"/>
          <w:szCs w:val="20"/>
        </w:rPr>
        <w:t>estructuring contains the following key elements:</w:t>
      </w:r>
    </w:p>
    <w:p w:rsidR="009B3C60" w:rsidRPr="00F70042" w:rsidRDefault="009B3C60" w:rsidP="009B3C60">
      <w:pPr>
        <w:pStyle w:val="ListParagraph"/>
        <w:jc w:val="both"/>
        <w:rPr>
          <w:rFonts w:ascii="Verdana" w:hAnsi="Verdana"/>
          <w:sz w:val="20"/>
          <w:szCs w:val="20"/>
        </w:rPr>
      </w:pPr>
    </w:p>
    <w:p w:rsidR="009B3C60" w:rsidRPr="00337A6B" w:rsidRDefault="00337A6B" w:rsidP="00337A6B">
      <w:pPr>
        <w:pStyle w:val="ListParagraph"/>
        <w:numPr>
          <w:ilvl w:val="0"/>
          <w:numId w:val="21"/>
        </w:numPr>
        <w:tabs>
          <w:tab w:val="left" w:pos="1170"/>
          <w:tab w:val="left" w:pos="1701"/>
          <w:tab w:val="left" w:pos="2835"/>
          <w:tab w:val="left" w:pos="5103"/>
          <w:tab w:val="right" w:pos="6521"/>
          <w:tab w:val="left" w:pos="7088"/>
          <w:tab w:val="right" w:pos="8606"/>
        </w:tabs>
        <w:suppressAutoHyphens/>
        <w:autoSpaceDE w:val="0"/>
        <w:autoSpaceDN w:val="0"/>
        <w:adjustRightInd w:val="0"/>
        <w:spacing w:before="120"/>
        <w:ind w:right="-1"/>
        <w:jc w:val="both"/>
        <w:rPr>
          <w:rFonts w:ascii="Verdana" w:hAnsi="Verdana"/>
          <w:sz w:val="20"/>
          <w:szCs w:val="20"/>
        </w:rPr>
      </w:pPr>
      <w:r>
        <w:rPr>
          <w:rFonts w:ascii="Verdana" w:hAnsi="Verdana"/>
          <w:sz w:val="20"/>
          <w:szCs w:val="20"/>
        </w:rPr>
        <w:t>C</w:t>
      </w:r>
      <w:r w:rsidR="009B3C60" w:rsidRPr="00337A6B">
        <w:rPr>
          <w:rFonts w:ascii="Verdana" w:hAnsi="Verdana"/>
          <w:sz w:val="20"/>
          <w:szCs w:val="20"/>
        </w:rPr>
        <w:t>onversion of loans into the listing shares</w:t>
      </w:r>
    </w:p>
    <w:p w:rsidR="009B3C60" w:rsidRPr="00F70042" w:rsidRDefault="009B3C60" w:rsidP="009B3C60">
      <w:pPr>
        <w:pStyle w:val="ListParagraph"/>
        <w:tabs>
          <w:tab w:val="left" w:pos="1170"/>
          <w:tab w:val="left" w:pos="1701"/>
          <w:tab w:val="left" w:pos="2835"/>
          <w:tab w:val="left" w:pos="5103"/>
          <w:tab w:val="right" w:pos="6521"/>
          <w:tab w:val="left" w:pos="7088"/>
          <w:tab w:val="right" w:pos="8606"/>
        </w:tabs>
        <w:suppressAutoHyphens/>
        <w:autoSpaceDE w:val="0"/>
        <w:autoSpaceDN w:val="0"/>
        <w:adjustRightInd w:val="0"/>
        <w:spacing w:before="120"/>
        <w:ind w:left="1080" w:right="-1"/>
        <w:jc w:val="both"/>
        <w:rPr>
          <w:rFonts w:ascii="Verdana" w:hAnsi="Verdana"/>
          <w:sz w:val="20"/>
          <w:szCs w:val="20"/>
        </w:rPr>
      </w:pPr>
    </w:p>
    <w:p w:rsidR="009B3C60" w:rsidRDefault="009B3C60" w:rsidP="009B3C60">
      <w:pPr>
        <w:pStyle w:val="ListParagraph"/>
        <w:numPr>
          <w:ilvl w:val="0"/>
          <w:numId w:val="21"/>
        </w:numPr>
        <w:tabs>
          <w:tab w:val="left" w:pos="1080"/>
          <w:tab w:val="left" w:pos="1701"/>
          <w:tab w:val="left" w:pos="2835"/>
          <w:tab w:val="left" w:pos="5103"/>
          <w:tab w:val="right" w:pos="6521"/>
          <w:tab w:val="left" w:pos="7088"/>
          <w:tab w:val="right" w:pos="8606"/>
        </w:tabs>
        <w:suppressAutoHyphens/>
        <w:autoSpaceDE w:val="0"/>
        <w:autoSpaceDN w:val="0"/>
        <w:adjustRightInd w:val="0"/>
        <w:spacing w:before="120"/>
        <w:ind w:right="-1"/>
        <w:jc w:val="both"/>
        <w:rPr>
          <w:rFonts w:ascii="Verdana" w:hAnsi="Verdana"/>
          <w:sz w:val="20"/>
          <w:szCs w:val="20"/>
        </w:rPr>
      </w:pPr>
      <w:r w:rsidRPr="00F70042">
        <w:rPr>
          <w:rFonts w:ascii="Verdana" w:hAnsi="Verdana"/>
          <w:sz w:val="20"/>
          <w:szCs w:val="20"/>
        </w:rPr>
        <w:t>Refinancing of the remaining senior debt</w:t>
      </w:r>
    </w:p>
    <w:p w:rsidR="009B3C60" w:rsidRPr="00F70042" w:rsidRDefault="009B3C60" w:rsidP="009B3C60">
      <w:pPr>
        <w:pStyle w:val="ListParagraph"/>
        <w:jc w:val="both"/>
        <w:rPr>
          <w:rFonts w:ascii="Verdana" w:hAnsi="Verdana"/>
          <w:sz w:val="20"/>
          <w:szCs w:val="20"/>
        </w:rPr>
      </w:pPr>
    </w:p>
    <w:p w:rsidR="009B3C60" w:rsidRDefault="009B3C60" w:rsidP="009B3C60">
      <w:pPr>
        <w:pStyle w:val="ListParagraph"/>
        <w:numPr>
          <w:ilvl w:val="0"/>
          <w:numId w:val="21"/>
        </w:numPr>
        <w:tabs>
          <w:tab w:val="left" w:pos="1080"/>
          <w:tab w:val="left" w:pos="1701"/>
          <w:tab w:val="left" w:pos="2835"/>
          <w:tab w:val="left" w:pos="5103"/>
          <w:tab w:val="right" w:pos="6521"/>
          <w:tab w:val="left" w:pos="7088"/>
          <w:tab w:val="right" w:pos="8606"/>
        </w:tabs>
        <w:suppressAutoHyphens/>
        <w:autoSpaceDE w:val="0"/>
        <w:autoSpaceDN w:val="0"/>
        <w:adjustRightInd w:val="0"/>
        <w:spacing w:before="120"/>
        <w:ind w:right="-1"/>
        <w:jc w:val="both"/>
        <w:rPr>
          <w:rFonts w:ascii="Verdana" w:hAnsi="Verdana"/>
          <w:sz w:val="20"/>
          <w:szCs w:val="20"/>
        </w:rPr>
      </w:pPr>
      <w:r w:rsidRPr="00F70042">
        <w:rPr>
          <w:rFonts w:ascii="Verdana" w:hAnsi="Verdana"/>
          <w:sz w:val="20"/>
          <w:szCs w:val="20"/>
        </w:rPr>
        <w:t>Temporary working capital loan facility</w:t>
      </w:r>
    </w:p>
    <w:p w:rsidR="009B3C60" w:rsidRPr="00BA01E3" w:rsidRDefault="009B3C60" w:rsidP="009B3C60">
      <w:pPr>
        <w:pStyle w:val="ListParagraph"/>
        <w:rPr>
          <w:rFonts w:ascii="Verdana" w:hAnsi="Verdana"/>
          <w:sz w:val="20"/>
          <w:szCs w:val="20"/>
        </w:rPr>
      </w:pPr>
    </w:p>
    <w:p w:rsidR="009B3C60" w:rsidRPr="00670C74" w:rsidRDefault="009B3C60" w:rsidP="009B3C60">
      <w:pPr>
        <w:pStyle w:val="ListParagraph"/>
        <w:numPr>
          <w:ilvl w:val="0"/>
          <w:numId w:val="21"/>
        </w:numPr>
        <w:tabs>
          <w:tab w:val="left" w:pos="1080"/>
          <w:tab w:val="left" w:pos="1701"/>
          <w:tab w:val="left" w:pos="2835"/>
          <w:tab w:val="left" w:pos="5103"/>
          <w:tab w:val="right" w:pos="6521"/>
          <w:tab w:val="left" w:pos="7088"/>
          <w:tab w:val="right" w:pos="8606"/>
        </w:tabs>
        <w:suppressAutoHyphens/>
        <w:autoSpaceDE w:val="0"/>
        <w:autoSpaceDN w:val="0"/>
        <w:adjustRightInd w:val="0"/>
        <w:spacing w:before="120"/>
        <w:ind w:right="-1"/>
        <w:jc w:val="both"/>
        <w:rPr>
          <w:rFonts w:ascii="Verdana" w:hAnsi="Verdana"/>
          <w:sz w:val="20"/>
          <w:szCs w:val="20"/>
        </w:rPr>
      </w:pPr>
      <w:r>
        <w:rPr>
          <w:rFonts w:ascii="Verdana" w:hAnsi="Verdana"/>
          <w:sz w:val="20"/>
          <w:szCs w:val="20"/>
        </w:rPr>
        <w:t>Fresh equity injection of USD</w:t>
      </w:r>
      <w:r w:rsidR="001F4E7B">
        <w:rPr>
          <w:rFonts w:ascii="Verdana" w:hAnsi="Verdana"/>
          <w:sz w:val="20"/>
          <w:szCs w:val="20"/>
        </w:rPr>
        <w:t xml:space="preserve"> </w:t>
      </w:r>
      <w:r>
        <w:rPr>
          <w:rFonts w:ascii="Verdana" w:hAnsi="Verdana"/>
          <w:sz w:val="20"/>
          <w:szCs w:val="20"/>
        </w:rPr>
        <w:t>2</w:t>
      </w:r>
      <w:r w:rsidR="001F4E7B">
        <w:rPr>
          <w:rFonts w:ascii="Verdana" w:hAnsi="Verdana"/>
          <w:sz w:val="20"/>
          <w:szCs w:val="20"/>
        </w:rPr>
        <w:t>.0</w:t>
      </w:r>
      <w:r>
        <w:rPr>
          <w:rFonts w:ascii="Verdana" w:hAnsi="Verdana"/>
          <w:sz w:val="20"/>
          <w:szCs w:val="20"/>
        </w:rPr>
        <w:t xml:space="preserve"> million</w:t>
      </w:r>
    </w:p>
    <w:p w:rsidR="009B3C60" w:rsidRDefault="009B3C60" w:rsidP="009B3C60">
      <w:pPr>
        <w:pStyle w:val="ListParagraph"/>
        <w:spacing w:line="276" w:lineRule="auto"/>
        <w:jc w:val="both"/>
        <w:rPr>
          <w:rFonts w:ascii="Verdana" w:hAnsi="Verdana" w:cstheme="minorHAnsi"/>
          <w:sz w:val="20"/>
          <w:szCs w:val="20"/>
        </w:rPr>
      </w:pPr>
    </w:p>
    <w:p w:rsidR="009B3C60" w:rsidRDefault="009B3C60" w:rsidP="009B3C60">
      <w:pPr>
        <w:pStyle w:val="ListParagraph"/>
        <w:numPr>
          <w:ilvl w:val="0"/>
          <w:numId w:val="9"/>
        </w:numPr>
        <w:spacing w:line="276" w:lineRule="auto"/>
        <w:jc w:val="both"/>
        <w:rPr>
          <w:rFonts w:ascii="Verdana" w:hAnsi="Verdana" w:cstheme="minorHAnsi"/>
          <w:sz w:val="20"/>
          <w:szCs w:val="20"/>
        </w:rPr>
      </w:pPr>
      <w:r>
        <w:rPr>
          <w:rFonts w:ascii="Verdana" w:hAnsi="Verdana" w:cstheme="minorHAnsi"/>
          <w:sz w:val="20"/>
          <w:szCs w:val="20"/>
        </w:rPr>
        <w:t>As a result of the restructuring, the outstanding debt as at 19 December 2013 was reduced by USD</w:t>
      </w:r>
      <w:r w:rsidR="001F4E7B">
        <w:rPr>
          <w:rFonts w:ascii="Verdana" w:hAnsi="Verdana" w:cstheme="minorHAnsi"/>
          <w:sz w:val="20"/>
          <w:szCs w:val="20"/>
        </w:rPr>
        <w:t xml:space="preserve"> </w:t>
      </w:r>
      <w:r>
        <w:rPr>
          <w:rFonts w:ascii="Verdana" w:hAnsi="Verdana" w:cstheme="minorHAnsi"/>
          <w:sz w:val="20"/>
          <w:szCs w:val="20"/>
        </w:rPr>
        <w:t>72.1 million and equity increased by USD</w:t>
      </w:r>
      <w:r w:rsidR="001F4E7B">
        <w:rPr>
          <w:rFonts w:ascii="Verdana" w:hAnsi="Verdana" w:cstheme="minorHAnsi"/>
          <w:sz w:val="20"/>
          <w:szCs w:val="20"/>
        </w:rPr>
        <w:t xml:space="preserve"> </w:t>
      </w:r>
      <w:r>
        <w:rPr>
          <w:rFonts w:ascii="Verdana" w:hAnsi="Verdana" w:cstheme="minorHAnsi"/>
          <w:sz w:val="20"/>
          <w:szCs w:val="20"/>
        </w:rPr>
        <w:t>74.1 million including the USD</w:t>
      </w:r>
      <w:r w:rsidR="001F4E7B">
        <w:rPr>
          <w:rFonts w:ascii="Verdana" w:hAnsi="Verdana" w:cstheme="minorHAnsi"/>
          <w:sz w:val="20"/>
          <w:szCs w:val="20"/>
        </w:rPr>
        <w:t xml:space="preserve"> </w:t>
      </w:r>
      <w:r>
        <w:rPr>
          <w:rFonts w:ascii="Verdana" w:hAnsi="Verdana" w:cstheme="minorHAnsi"/>
          <w:sz w:val="20"/>
          <w:szCs w:val="20"/>
        </w:rPr>
        <w:t>2</w:t>
      </w:r>
      <w:r w:rsidR="001F4E7B">
        <w:rPr>
          <w:rFonts w:ascii="Verdana" w:hAnsi="Verdana" w:cstheme="minorHAnsi"/>
          <w:sz w:val="20"/>
          <w:szCs w:val="20"/>
        </w:rPr>
        <w:t>.0</w:t>
      </w:r>
      <w:r>
        <w:rPr>
          <w:rFonts w:ascii="Verdana" w:hAnsi="Verdana" w:cstheme="minorHAnsi"/>
          <w:sz w:val="20"/>
          <w:szCs w:val="20"/>
        </w:rPr>
        <w:t xml:space="preserve"> million equity injected by Nordic Maritime.  The remaining loan of USD</w:t>
      </w:r>
      <w:r w:rsidR="001F4E7B">
        <w:rPr>
          <w:rFonts w:ascii="Verdana" w:hAnsi="Verdana" w:cstheme="minorHAnsi"/>
          <w:sz w:val="20"/>
          <w:szCs w:val="20"/>
        </w:rPr>
        <w:t xml:space="preserve"> </w:t>
      </w:r>
      <w:r>
        <w:rPr>
          <w:rFonts w:ascii="Verdana" w:hAnsi="Verdana" w:cstheme="minorHAnsi"/>
          <w:sz w:val="20"/>
          <w:szCs w:val="20"/>
        </w:rPr>
        <w:t>100</w:t>
      </w:r>
      <w:r w:rsidR="001F4E7B">
        <w:rPr>
          <w:rFonts w:ascii="Verdana" w:hAnsi="Verdana" w:cstheme="minorHAnsi"/>
          <w:sz w:val="20"/>
          <w:szCs w:val="20"/>
        </w:rPr>
        <w:t>.0</w:t>
      </w:r>
      <w:r>
        <w:rPr>
          <w:rFonts w:ascii="Verdana" w:hAnsi="Verdana" w:cstheme="minorHAnsi"/>
          <w:sz w:val="20"/>
          <w:szCs w:val="20"/>
        </w:rPr>
        <w:t xml:space="preserve"> million was refinanced into a new 7-year facility.</w:t>
      </w:r>
    </w:p>
    <w:p w:rsidR="009B3C60" w:rsidRPr="00AA7D48" w:rsidRDefault="009B3C60" w:rsidP="009B3C60">
      <w:pPr>
        <w:pStyle w:val="ListParagraph"/>
        <w:spacing w:line="276" w:lineRule="auto"/>
        <w:jc w:val="both"/>
        <w:rPr>
          <w:rFonts w:ascii="Verdana" w:hAnsi="Verdana" w:cstheme="minorHAnsi"/>
          <w:sz w:val="20"/>
          <w:szCs w:val="20"/>
        </w:rPr>
      </w:pPr>
    </w:p>
    <w:p w:rsidR="009B3C60" w:rsidRPr="00F70042" w:rsidRDefault="009B3C60" w:rsidP="009B3C60">
      <w:pPr>
        <w:pStyle w:val="ListParagraph"/>
        <w:numPr>
          <w:ilvl w:val="0"/>
          <w:numId w:val="9"/>
        </w:numPr>
        <w:spacing w:line="276" w:lineRule="auto"/>
        <w:jc w:val="both"/>
        <w:rPr>
          <w:rFonts w:ascii="Verdana" w:hAnsi="Verdana" w:cstheme="minorHAnsi"/>
          <w:sz w:val="20"/>
          <w:szCs w:val="20"/>
        </w:rPr>
      </w:pPr>
      <w:r>
        <w:rPr>
          <w:rFonts w:ascii="Verdana" w:hAnsi="Verdana" w:cstheme="minorHAnsi"/>
          <w:sz w:val="20"/>
          <w:szCs w:val="20"/>
        </w:rPr>
        <w:t>For 2013, Nordic Shipholding has recognised a one-off gain of USD</w:t>
      </w:r>
      <w:r w:rsidR="001F4E7B">
        <w:rPr>
          <w:rFonts w:ascii="Verdana" w:hAnsi="Verdana" w:cstheme="minorHAnsi"/>
          <w:sz w:val="20"/>
          <w:szCs w:val="20"/>
        </w:rPr>
        <w:t xml:space="preserve"> </w:t>
      </w:r>
      <w:r w:rsidRPr="00AA7D48">
        <w:rPr>
          <w:rFonts w:ascii="Verdana" w:hAnsi="Verdana" w:cstheme="minorHAnsi"/>
          <w:sz w:val="20"/>
          <w:szCs w:val="20"/>
        </w:rPr>
        <w:t>28.</w:t>
      </w:r>
      <w:r w:rsidR="001F4E7B">
        <w:rPr>
          <w:rFonts w:ascii="Verdana" w:hAnsi="Verdana" w:cstheme="minorHAnsi"/>
          <w:sz w:val="20"/>
          <w:szCs w:val="20"/>
        </w:rPr>
        <w:t>6</w:t>
      </w:r>
      <w:r w:rsidRPr="00AA7D48">
        <w:rPr>
          <w:rFonts w:ascii="Verdana" w:hAnsi="Verdana" w:cstheme="minorHAnsi"/>
          <w:sz w:val="20"/>
          <w:szCs w:val="20"/>
        </w:rPr>
        <w:t xml:space="preserve"> million</w:t>
      </w:r>
      <w:r>
        <w:rPr>
          <w:rFonts w:ascii="Verdana" w:hAnsi="Verdana" w:cstheme="minorHAnsi"/>
          <w:sz w:val="20"/>
          <w:szCs w:val="20"/>
        </w:rPr>
        <w:t xml:space="preserve"> arising from the restructuring.  This resulted in a total profit of USD</w:t>
      </w:r>
      <w:r w:rsidR="001F4E7B">
        <w:rPr>
          <w:rFonts w:ascii="Verdana" w:hAnsi="Verdana" w:cstheme="minorHAnsi"/>
          <w:sz w:val="20"/>
          <w:szCs w:val="20"/>
        </w:rPr>
        <w:t xml:space="preserve"> </w:t>
      </w:r>
      <w:r>
        <w:rPr>
          <w:rFonts w:ascii="Verdana" w:hAnsi="Verdana" w:cstheme="minorHAnsi"/>
          <w:sz w:val="20"/>
          <w:szCs w:val="20"/>
        </w:rPr>
        <w:t>19.</w:t>
      </w:r>
      <w:r w:rsidR="001F4E7B">
        <w:rPr>
          <w:rFonts w:ascii="Verdana" w:hAnsi="Verdana" w:cstheme="minorHAnsi"/>
          <w:sz w:val="20"/>
          <w:szCs w:val="20"/>
        </w:rPr>
        <w:t>4</w:t>
      </w:r>
      <w:r w:rsidRPr="00AA7D48">
        <w:rPr>
          <w:rFonts w:ascii="Verdana" w:hAnsi="Verdana" w:cstheme="minorHAnsi"/>
          <w:sz w:val="20"/>
          <w:szCs w:val="20"/>
        </w:rPr>
        <w:t xml:space="preserve"> million</w:t>
      </w:r>
      <w:r>
        <w:rPr>
          <w:rFonts w:ascii="Verdana" w:hAnsi="Verdana" w:cstheme="minorHAnsi"/>
          <w:sz w:val="20"/>
          <w:szCs w:val="20"/>
        </w:rPr>
        <w:t xml:space="preserve"> for the year.  Excluding this one-off </w:t>
      </w:r>
      <w:r w:rsidRPr="00F70042">
        <w:rPr>
          <w:rFonts w:ascii="Verdana" w:hAnsi="Verdana" w:cstheme="minorHAnsi"/>
          <w:sz w:val="20"/>
          <w:szCs w:val="20"/>
        </w:rPr>
        <w:t xml:space="preserve">gain of </w:t>
      </w:r>
      <w:r>
        <w:rPr>
          <w:rFonts w:ascii="Verdana" w:hAnsi="Verdana" w:cstheme="minorHAnsi"/>
          <w:sz w:val="20"/>
          <w:szCs w:val="20"/>
        </w:rPr>
        <w:t>USD</w:t>
      </w:r>
      <w:r w:rsidR="001F4E7B">
        <w:rPr>
          <w:rFonts w:ascii="Verdana" w:hAnsi="Verdana" w:cstheme="minorHAnsi"/>
          <w:sz w:val="20"/>
          <w:szCs w:val="20"/>
        </w:rPr>
        <w:t xml:space="preserve"> </w:t>
      </w:r>
      <w:r w:rsidRPr="00670C74">
        <w:rPr>
          <w:rFonts w:ascii="Verdana" w:hAnsi="Verdana" w:cstheme="minorHAnsi"/>
          <w:sz w:val="20"/>
          <w:szCs w:val="20"/>
        </w:rPr>
        <w:t>28.</w:t>
      </w:r>
      <w:r w:rsidR="001F4E7B">
        <w:rPr>
          <w:rFonts w:ascii="Verdana" w:hAnsi="Verdana" w:cstheme="minorHAnsi"/>
          <w:sz w:val="20"/>
          <w:szCs w:val="20"/>
        </w:rPr>
        <w:t>6</w:t>
      </w:r>
      <w:r w:rsidRPr="00670C74">
        <w:rPr>
          <w:rFonts w:ascii="Verdana" w:hAnsi="Verdana" w:cstheme="minorHAnsi"/>
          <w:sz w:val="20"/>
          <w:szCs w:val="20"/>
        </w:rPr>
        <w:t xml:space="preserve"> million</w:t>
      </w:r>
      <w:r w:rsidRPr="00F70042">
        <w:rPr>
          <w:rFonts w:ascii="Verdana" w:hAnsi="Verdana" w:cstheme="minorHAnsi"/>
          <w:sz w:val="20"/>
          <w:szCs w:val="20"/>
        </w:rPr>
        <w:t xml:space="preserve">, Nordic Shipholding </w:t>
      </w:r>
      <w:r>
        <w:rPr>
          <w:rFonts w:ascii="Verdana" w:hAnsi="Verdana" w:cstheme="minorHAnsi"/>
          <w:sz w:val="20"/>
          <w:szCs w:val="20"/>
        </w:rPr>
        <w:t>incurre</w:t>
      </w:r>
      <w:r w:rsidRPr="00F70042">
        <w:rPr>
          <w:rFonts w:ascii="Verdana" w:hAnsi="Verdana" w:cstheme="minorHAnsi"/>
          <w:sz w:val="20"/>
          <w:szCs w:val="20"/>
        </w:rPr>
        <w:t xml:space="preserve">d a net loss for 2013 of </w:t>
      </w:r>
      <w:r w:rsidRPr="00670C74">
        <w:rPr>
          <w:rFonts w:ascii="Verdana" w:hAnsi="Verdana" w:cstheme="minorHAnsi"/>
          <w:sz w:val="20"/>
          <w:szCs w:val="20"/>
        </w:rPr>
        <w:t>USD</w:t>
      </w:r>
      <w:r w:rsidR="001F4E7B">
        <w:rPr>
          <w:rFonts w:ascii="Verdana" w:hAnsi="Verdana" w:cstheme="minorHAnsi"/>
          <w:sz w:val="20"/>
          <w:szCs w:val="20"/>
        </w:rPr>
        <w:t xml:space="preserve"> </w:t>
      </w:r>
      <w:r w:rsidR="00217D49">
        <w:rPr>
          <w:rFonts w:ascii="Verdana" w:hAnsi="Verdana" w:cstheme="minorHAnsi"/>
          <w:sz w:val="20"/>
          <w:szCs w:val="20"/>
        </w:rPr>
        <w:t>9.1</w:t>
      </w:r>
      <w:r>
        <w:rPr>
          <w:rFonts w:ascii="Verdana" w:hAnsi="Verdana" w:cstheme="minorHAnsi"/>
          <w:sz w:val="20"/>
          <w:szCs w:val="20"/>
        </w:rPr>
        <w:t xml:space="preserve"> </w:t>
      </w:r>
      <w:r w:rsidRPr="00670C74">
        <w:rPr>
          <w:rFonts w:ascii="Verdana" w:hAnsi="Verdana" w:cstheme="minorHAnsi"/>
          <w:sz w:val="20"/>
          <w:szCs w:val="20"/>
        </w:rPr>
        <w:t>million</w:t>
      </w:r>
      <w:r w:rsidR="005A6C08">
        <w:rPr>
          <w:rFonts w:ascii="Verdana" w:hAnsi="Verdana" w:cstheme="minorHAnsi"/>
          <w:sz w:val="20"/>
          <w:szCs w:val="20"/>
        </w:rPr>
        <w:t xml:space="preserve"> of which operating result</w:t>
      </w:r>
      <w:r w:rsidR="003D4A50">
        <w:rPr>
          <w:rFonts w:ascii="Verdana" w:hAnsi="Verdana" w:cstheme="minorHAnsi"/>
          <w:sz w:val="20"/>
          <w:szCs w:val="20"/>
        </w:rPr>
        <w:t xml:space="preserve"> amounted to USD -2.0 million and financial expenses was USD 7.1 million</w:t>
      </w:r>
      <w:r>
        <w:rPr>
          <w:rFonts w:ascii="Verdana" w:hAnsi="Verdana" w:cstheme="minorHAnsi"/>
          <w:sz w:val="20"/>
          <w:szCs w:val="20"/>
        </w:rPr>
        <w:t xml:space="preserve">.  Due to the financial condition of the Company prior to the restructuring, expectation of the </w:t>
      </w:r>
      <w:r w:rsidR="001F4E7B">
        <w:rPr>
          <w:rFonts w:ascii="Verdana" w:hAnsi="Verdana" w:cstheme="minorHAnsi"/>
          <w:sz w:val="20"/>
          <w:szCs w:val="20"/>
        </w:rPr>
        <w:t>C</w:t>
      </w:r>
      <w:r w:rsidR="006E1B83">
        <w:rPr>
          <w:rFonts w:ascii="Verdana" w:hAnsi="Verdana" w:cstheme="minorHAnsi"/>
          <w:sz w:val="20"/>
          <w:szCs w:val="20"/>
        </w:rPr>
        <w:t>ompany’s performance was</w:t>
      </w:r>
      <w:r>
        <w:rPr>
          <w:rFonts w:ascii="Verdana" w:hAnsi="Verdana" w:cstheme="minorHAnsi"/>
          <w:sz w:val="20"/>
          <w:szCs w:val="20"/>
        </w:rPr>
        <w:t xml:space="preserve"> not provided for 2013.</w:t>
      </w:r>
    </w:p>
    <w:p w:rsidR="009B3C60" w:rsidRPr="00F70042" w:rsidRDefault="009B3C60" w:rsidP="009B3C60">
      <w:pPr>
        <w:pStyle w:val="ListParagraph"/>
        <w:spacing w:line="276" w:lineRule="auto"/>
        <w:jc w:val="both"/>
        <w:rPr>
          <w:rFonts w:ascii="Verdana" w:hAnsi="Verdana" w:cstheme="minorHAnsi"/>
          <w:sz w:val="20"/>
          <w:szCs w:val="20"/>
        </w:rPr>
      </w:pPr>
    </w:p>
    <w:p w:rsidR="009B3C60" w:rsidRPr="00670C74" w:rsidRDefault="009B3C60" w:rsidP="009B3C60">
      <w:pPr>
        <w:pStyle w:val="ListParagraph"/>
        <w:numPr>
          <w:ilvl w:val="0"/>
          <w:numId w:val="9"/>
        </w:numPr>
        <w:spacing w:line="276" w:lineRule="auto"/>
        <w:jc w:val="both"/>
        <w:rPr>
          <w:rFonts w:ascii="Verdana" w:hAnsi="Verdana" w:cstheme="minorHAnsi"/>
          <w:sz w:val="20"/>
          <w:szCs w:val="20"/>
        </w:rPr>
      </w:pPr>
      <w:r>
        <w:rPr>
          <w:rFonts w:ascii="Verdana" w:hAnsi="Verdana" w:cstheme="minorHAnsi"/>
          <w:sz w:val="20"/>
          <w:szCs w:val="20"/>
        </w:rPr>
        <w:t>Gross revenue earned by the 6 vessels reached USD</w:t>
      </w:r>
      <w:r w:rsidR="001F4E7B">
        <w:rPr>
          <w:rFonts w:ascii="Verdana" w:hAnsi="Verdana" w:cstheme="minorHAnsi"/>
          <w:sz w:val="20"/>
          <w:szCs w:val="20"/>
        </w:rPr>
        <w:t xml:space="preserve"> </w:t>
      </w:r>
      <w:r>
        <w:rPr>
          <w:rFonts w:ascii="Verdana" w:hAnsi="Verdana" w:cstheme="minorHAnsi"/>
          <w:sz w:val="20"/>
          <w:szCs w:val="20"/>
        </w:rPr>
        <w:t>60</w:t>
      </w:r>
      <w:r w:rsidR="001F4E7B">
        <w:rPr>
          <w:rFonts w:ascii="Verdana" w:hAnsi="Verdana" w:cstheme="minorHAnsi"/>
          <w:sz w:val="20"/>
          <w:szCs w:val="20"/>
        </w:rPr>
        <w:t>.0</w:t>
      </w:r>
      <w:r>
        <w:rPr>
          <w:rFonts w:ascii="Verdana" w:hAnsi="Verdana" w:cstheme="minorHAnsi"/>
          <w:sz w:val="20"/>
          <w:szCs w:val="20"/>
        </w:rPr>
        <w:t xml:space="preserve"> million, which resulted in a </w:t>
      </w:r>
      <w:r w:rsidRPr="00F70042">
        <w:rPr>
          <w:rFonts w:ascii="Verdana" w:hAnsi="Verdana" w:cstheme="minorHAnsi"/>
          <w:sz w:val="20"/>
          <w:szCs w:val="20"/>
        </w:rPr>
        <w:t xml:space="preserve">TCE revenue </w:t>
      </w:r>
      <w:r>
        <w:rPr>
          <w:rFonts w:ascii="Verdana" w:hAnsi="Verdana" w:cstheme="minorHAnsi"/>
          <w:sz w:val="20"/>
          <w:szCs w:val="20"/>
        </w:rPr>
        <w:t>of</w:t>
      </w:r>
      <w:r w:rsidRPr="00F70042">
        <w:rPr>
          <w:rFonts w:ascii="Verdana" w:hAnsi="Verdana" w:cstheme="minorHAnsi"/>
          <w:sz w:val="20"/>
          <w:szCs w:val="20"/>
        </w:rPr>
        <w:t xml:space="preserve"> </w:t>
      </w:r>
      <w:r w:rsidR="00C62C39">
        <w:rPr>
          <w:rFonts w:ascii="Verdana" w:hAnsi="Verdana" w:cstheme="minorHAnsi"/>
          <w:sz w:val="20"/>
          <w:szCs w:val="20"/>
        </w:rPr>
        <w:t>USD</w:t>
      </w:r>
      <w:r w:rsidR="001F4E7B">
        <w:rPr>
          <w:rFonts w:ascii="Verdana" w:hAnsi="Verdana" w:cstheme="minorHAnsi"/>
          <w:sz w:val="20"/>
          <w:szCs w:val="20"/>
        </w:rPr>
        <w:t xml:space="preserve"> </w:t>
      </w:r>
      <w:r>
        <w:rPr>
          <w:rFonts w:ascii="Verdana" w:hAnsi="Verdana" w:cstheme="minorHAnsi"/>
          <w:sz w:val="20"/>
          <w:szCs w:val="20"/>
        </w:rPr>
        <w:t>25.9</w:t>
      </w:r>
      <w:r w:rsidRPr="00670C74">
        <w:rPr>
          <w:rFonts w:ascii="Verdana" w:hAnsi="Verdana" w:cstheme="minorHAnsi"/>
          <w:sz w:val="20"/>
          <w:szCs w:val="20"/>
        </w:rPr>
        <w:t xml:space="preserve"> million</w:t>
      </w:r>
      <w:r>
        <w:rPr>
          <w:rFonts w:ascii="Verdana" w:hAnsi="Verdana" w:cstheme="minorHAnsi"/>
          <w:sz w:val="20"/>
          <w:szCs w:val="20"/>
        </w:rPr>
        <w:t xml:space="preserve"> and an </w:t>
      </w:r>
      <w:r w:rsidRPr="00F70042">
        <w:rPr>
          <w:rFonts w:ascii="Verdana" w:hAnsi="Verdana" w:cstheme="minorHAnsi"/>
          <w:sz w:val="20"/>
          <w:szCs w:val="20"/>
        </w:rPr>
        <w:t xml:space="preserve">EBITDA </w:t>
      </w:r>
      <w:r>
        <w:rPr>
          <w:rFonts w:ascii="Verdana" w:hAnsi="Verdana" w:cstheme="minorHAnsi"/>
          <w:sz w:val="20"/>
          <w:szCs w:val="20"/>
        </w:rPr>
        <w:t>of</w:t>
      </w:r>
      <w:r w:rsidRPr="00F70042">
        <w:rPr>
          <w:rFonts w:ascii="Verdana" w:hAnsi="Verdana" w:cstheme="minorHAnsi"/>
          <w:sz w:val="20"/>
          <w:szCs w:val="20"/>
        </w:rPr>
        <w:t xml:space="preserve"> </w:t>
      </w:r>
      <w:r w:rsidRPr="00670C74">
        <w:rPr>
          <w:rFonts w:ascii="Verdana" w:hAnsi="Verdana" w:cstheme="minorHAnsi"/>
          <w:sz w:val="20"/>
          <w:szCs w:val="20"/>
        </w:rPr>
        <w:t>USD</w:t>
      </w:r>
      <w:r w:rsidR="001F4E7B">
        <w:rPr>
          <w:rFonts w:ascii="Verdana" w:hAnsi="Verdana" w:cstheme="minorHAnsi"/>
          <w:sz w:val="20"/>
          <w:szCs w:val="20"/>
        </w:rPr>
        <w:t xml:space="preserve"> </w:t>
      </w:r>
      <w:r w:rsidRPr="00670C74">
        <w:rPr>
          <w:rFonts w:ascii="Verdana" w:hAnsi="Verdana" w:cstheme="minorHAnsi"/>
          <w:sz w:val="20"/>
          <w:szCs w:val="20"/>
        </w:rPr>
        <w:t>3.6 million</w:t>
      </w:r>
      <w:r>
        <w:rPr>
          <w:rFonts w:ascii="Verdana" w:hAnsi="Verdana" w:cstheme="minorHAnsi"/>
          <w:sz w:val="20"/>
          <w:szCs w:val="20"/>
        </w:rPr>
        <w:t>.  Equity totalled</w:t>
      </w:r>
      <w:r w:rsidRPr="00670C74">
        <w:rPr>
          <w:rFonts w:ascii="Verdana" w:hAnsi="Verdana" w:cstheme="minorHAnsi"/>
          <w:sz w:val="20"/>
          <w:szCs w:val="20"/>
        </w:rPr>
        <w:t xml:space="preserve"> USD</w:t>
      </w:r>
      <w:r w:rsidR="001F4E7B">
        <w:rPr>
          <w:rFonts w:ascii="Verdana" w:hAnsi="Verdana" w:cstheme="minorHAnsi"/>
          <w:sz w:val="20"/>
          <w:szCs w:val="20"/>
        </w:rPr>
        <w:t xml:space="preserve"> </w:t>
      </w:r>
      <w:r>
        <w:rPr>
          <w:rFonts w:ascii="Verdana" w:hAnsi="Verdana" w:cstheme="minorHAnsi"/>
          <w:sz w:val="20"/>
          <w:szCs w:val="20"/>
        </w:rPr>
        <w:t>28</w:t>
      </w:r>
      <w:r w:rsidRPr="00670C74">
        <w:rPr>
          <w:rFonts w:ascii="Verdana" w:hAnsi="Verdana" w:cstheme="minorHAnsi"/>
          <w:sz w:val="20"/>
          <w:szCs w:val="20"/>
        </w:rPr>
        <w:t>.2 million</w:t>
      </w:r>
      <w:r w:rsidRPr="00F70042">
        <w:rPr>
          <w:rFonts w:ascii="Verdana" w:hAnsi="Verdana" w:cstheme="minorHAnsi"/>
          <w:sz w:val="20"/>
          <w:szCs w:val="20"/>
        </w:rPr>
        <w:t>.</w:t>
      </w:r>
    </w:p>
    <w:p w:rsidR="009B3C60" w:rsidRPr="00670C74" w:rsidRDefault="009B3C60" w:rsidP="009B3C60">
      <w:pPr>
        <w:pStyle w:val="ListParagraph"/>
        <w:rPr>
          <w:rFonts w:ascii="Verdana" w:hAnsi="Verdana" w:cstheme="minorHAnsi"/>
          <w:sz w:val="20"/>
          <w:szCs w:val="20"/>
        </w:rPr>
      </w:pPr>
    </w:p>
    <w:p w:rsidR="009B3C60" w:rsidRPr="00195ED7" w:rsidRDefault="009B3C60" w:rsidP="009B3C60">
      <w:pPr>
        <w:pStyle w:val="ListParagraph"/>
        <w:numPr>
          <w:ilvl w:val="0"/>
          <w:numId w:val="9"/>
        </w:numPr>
        <w:spacing w:line="276" w:lineRule="auto"/>
        <w:jc w:val="both"/>
        <w:rPr>
          <w:rFonts w:ascii="Verdana" w:hAnsi="Verdana" w:cstheme="minorHAnsi"/>
          <w:sz w:val="20"/>
          <w:szCs w:val="20"/>
        </w:rPr>
      </w:pPr>
      <w:r w:rsidRPr="00195ED7">
        <w:rPr>
          <w:rFonts w:ascii="Verdana" w:hAnsi="Verdana" w:cstheme="minorHAnsi"/>
          <w:sz w:val="20"/>
          <w:szCs w:val="20"/>
        </w:rPr>
        <w:t>Following the completion of the restructuring, the Company entered into a new corporate management agreement with Transport Capital Pte.</w:t>
      </w:r>
      <w:r w:rsidR="00337A6B">
        <w:rPr>
          <w:rFonts w:ascii="Verdana" w:hAnsi="Verdana" w:cstheme="minorHAnsi"/>
          <w:sz w:val="20"/>
          <w:szCs w:val="20"/>
        </w:rPr>
        <w:t xml:space="preserve"> Ltd., which</w:t>
      </w:r>
      <w:r w:rsidRPr="00195ED7">
        <w:rPr>
          <w:rFonts w:ascii="Verdana" w:hAnsi="Verdana" w:cstheme="minorHAnsi"/>
          <w:sz w:val="20"/>
          <w:szCs w:val="20"/>
        </w:rPr>
        <w:t xml:space="preserve"> has taken over the corporate </w:t>
      </w:r>
      <w:r w:rsidRPr="00195ED7">
        <w:rPr>
          <w:rFonts w:ascii="Verdana" w:hAnsi="Verdana" w:cs="Arial"/>
          <w:sz w:val="20"/>
          <w:szCs w:val="20"/>
          <w:lang w:val="en"/>
        </w:rPr>
        <w:t>management responsibilities from Hafnia Tankers (formerly Tankers Inc.</w:t>
      </w:r>
      <w:r w:rsidR="001F4E7B">
        <w:rPr>
          <w:rFonts w:ascii="Verdana" w:hAnsi="Verdana" w:cs="Arial"/>
          <w:sz w:val="20"/>
          <w:szCs w:val="20"/>
          <w:lang w:val="en"/>
        </w:rPr>
        <w:t xml:space="preserve"> Holdings A/S</w:t>
      </w:r>
      <w:r w:rsidRPr="00195ED7">
        <w:rPr>
          <w:rFonts w:ascii="Verdana" w:hAnsi="Verdana" w:cs="Arial"/>
          <w:sz w:val="20"/>
          <w:szCs w:val="20"/>
          <w:lang w:val="en"/>
        </w:rPr>
        <w:t xml:space="preserve">). </w:t>
      </w:r>
      <w:r>
        <w:rPr>
          <w:rFonts w:ascii="Verdana" w:hAnsi="Verdana" w:cs="Arial"/>
          <w:sz w:val="20"/>
          <w:szCs w:val="20"/>
          <w:lang w:val="en"/>
        </w:rPr>
        <w:t xml:space="preserve"> </w:t>
      </w:r>
      <w:r w:rsidRPr="00195ED7">
        <w:rPr>
          <w:rFonts w:ascii="Verdana" w:hAnsi="Verdana" w:cs="Arial"/>
          <w:sz w:val="20"/>
          <w:szCs w:val="20"/>
          <w:lang w:val="en"/>
        </w:rPr>
        <w:t>Philip Clausius has also succeeded Thomas Andersen as CEO of the Company with effect from 2 January 2014 and Knud Pontoppidan remains as independent Chairman of the Board of Directors.</w:t>
      </w:r>
    </w:p>
    <w:p w:rsidR="00D23D11" w:rsidRPr="00EF3F29" w:rsidRDefault="00D23D11" w:rsidP="00D23D11">
      <w:pPr>
        <w:pStyle w:val="ListParagraph"/>
        <w:jc w:val="both"/>
        <w:rPr>
          <w:rFonts w:ascii="Verdana" w:hAnsi="Verdana" w:cstheme="minorHAnsi"/>
          <w:sz w:val="20"/>
          <w:szCs w:val="20"/>
        </w:rPr>
      </w:pPr>
    </w:p>
    <w:p w:rsidR="00D23D11" w:rsidRDefault="00D23D11" w:rsidP="00AF07C5">
      <w:pPr>
        <w:jc w:val="both"/>
        <w:rPr>
          <w:rFonts w:ascii="Verdana" w:hAnsi="Verdana" w:cstheme="minorHAnsi"/>
          <w:sz w:val="20"/>
          <w:szCs w:val="20"/>
        </w:rPr>
      </w:pPr>
    </w:p>
    <w:p w:rsidR="00261052" w:rsidRDefault="00261052" w:rsidP="00AF07C5">
      <w:pPr>
        <w:jc w:val="both"/>
        <w:rPr>
          <w:rFonts w:ascii="Verdana" w:hAnsi="Verdana" w:cstheme="minorHAnsi"/>
          <w:sz w:val="20"/>
          <w:szCs w:val="20"/>
        </w:rPr>
      </w:pPr>
    </w:p>
    <w:p w:rsidR="00C62C39" w:rsidRPr="00EF3F29" w:rsidRDefault="00C62C39" w:rsidP="00C62C39">
      <w:pPr>
        <w:pStyle w:val="Heading1"/>
        <w:rPr>
          <w:rFonts w:ascii="Verdana" w:hAnsi="Verdana"/>
          <w:color w:val="auto"/>
          <w:sz w:val="20"/>
          <w:szCs w:val="20"/>
          <w:lang w:val="en-GB"/>
        </w:rPr>
      </w:pPr>
      <w:r>
        <w:rPr>
          <w:rFonts w:ascii="Verdana" w:hAnsi="Verdana"/>
          <w:color w:val="17365D" w:themeColor="text2" w:themeShade="BF"/>
          <w:sz w:val="40"/>
          <w:szCs w:val="20"/>
          <w:lang w:val="en-GB"/>
        </w:rPr>
        <w:lastRenderedPageBreak/>
        <w:t>M</w:t>
      </w:r>
      <w:r w:rsidRPr="00D23D11">
        <w:rPr>
          <w:rFonts w:ascii="Verdana" w:hAnsi="Verdana"/>
          <w:color w:val="17365D" w:themeColor="text2" w:themeShade="BF"/>
          <w:sz w:val="40"/>
          <w:szCs w:val="20"/>
          <w:lang w:val="en-GB"/>
        </w:rPr>
        <w:t>anagement Review</w:t>
      </w:r>
    </w:p>
    <w:p w:rsidR="00C62C39" w:rsidRDefault="00C62C39" w:rsidP="00C62C39">
      <w:pPr>
        <w:jc w:val="both"/>
        <w:rPr>
          <w:rFonts w:ascii="Verdana" w:hAnsi="Verdana"/>
          <w:sz w:val="20"/>
          <w:szCs w:val="20"/>
          <w:lang w:val="en-GB"/>
        </w:rPr>
      </w:pPr>
    </w:p>
    <w:p w:rsidR="00C62C39" w:rsidRDefault="00C62C39" w:rsidP="00C62C39">
      <w:pPr>
        <w:spacing w:line="240" w:lineRule="auto"/>
        <w:ind w:right="-1"/>
        <w:jc w:val="both"/>
        <w:rPr>
          <w:rFonts w:ascii="Verdana" w:hAnsi="Verdana"/>
          <w:sz w:val="20"/>
          <w:szCs w:val="20"/>
          <w:lang w:val="en-GB"/>
        </w:rPr>
      </w:pPr>
      <w:r w:rsidRPr="00AF06D2">
        <w:rPr>
          <w:rFonts w:ascii="Verdana" w:hAnsi="Verdana"/>
          <w:sz w:val="20"/>
          <w:szCs w:val="20"/>
          <w:lang w:val="en-GB"/>
        </w:rPr>
        <w:t>Prior</w:t>
      </w:r>
      <w:r>
        <w:rPr>
          <w:rFonts w:ascii="Verdana" w:hAnsi="Verdana"/>
          <w:sz w:val="20"/>
          <w:szCs w:val="20"/>
          <w:lang w:val="en-GB"/>
        </w:rPr>
        <w:t xml:space="preserve"> to completion of the r</w:t>
      </w:r>
      <w:r w:rsidRPr="00AF06D2">
        <w:rPr>
          <w:rFonts w:ascii="Verdana" w:hAnsi="Verdana"/>
          <w:sz w:val="20"/>
          <w:szCs w:val="20"/>
          <w:lang w:val="en-GB"/>
        </w:rPr>
        <w:t xml:space="preserve">estructuring, Nordic Shipholding’s financial position has been seriously affected by the negative development in the shipping industry during the recent years. </w:t>
      </w:r>
      <w:r>
        <w:rPr>
          <w:rFonts w:ascii="Verdana" w:hAnsi="Verdana"/>
          <w:sz w:val="20"/>
          <w:szCs w:val="20"/>
          <w:lang w:val="en-GB"/>
        </w:rPr>
        <w:t xml:space="preserve"> </w:t>
      </w:r>
      <w:r w:rsidRPr="00AF06D2">
        <w:rPr>
          <w:rFonts w:ascii="Verdana" w:hAnsi="Verdana"/>
          <w:sz w:val="20"/>
          <w:szCs w:val="20"/>
          <w:lang w:val="en-GB"/>
        </w:rPr>
        <w:t xml:space="preserve">Consequently, the Company suffered large losses due to a low level of activity </w:t>
      </w:r>
      <w:r>
        <w:rPr>
          <w:rFonts w:ascii="Verdana" w:hAnsi="Verdana"/>
          <w:sz w:val="20"/>
          <w:szCs w:val="20"/>
          <w:lang w:val="en-GB"/>
        </w:rPr>
        <w:t xml:space="preserve">with Nordic Ruth being off-hire for first half of 2013, </w:t>
      </w:r>
      <w:r w:rsidRPr="00AF06D2">
        <w:rPr>
          <w:rFonts w:ascii="Verdana" w:hAnsi="Verdana"/>
          <w:sz w:val="20"/>
          <w:szCs w:val="20"/>
          <w:lang w:val="en-GB"/>
        </w:rPr>
        <w:t xml:space="preserve">and low earnings in the product tanker segments. </w:t>
      </w:r>
      <w:r>
        <w:rPr>
          <w:rFonts w:ascii="Verdana" w:hAnsi="Verdana"/>
          <w:sz w:val="20"/>
          <w:szCs w:val="20"/>
          <w:lang w:val="en-GB"/>
        </w:rPr>
        <w:t xml:space="preserve"> </w:t>
      </w:r>
      <w:r w:rsidR="00512967">
        <w:rPr>
          <w:rFonts w:ascii="Verdana" w:hAnsi="Verdana"/>
          <w:sz w:val="20"/>
          <w:szCs w:val="20"/>
          <w:lang w:val="en-GB"/>
        </w:rPr>
        <w:t>Notwithstanding</w:t>
      </w:r>
      <w:r w:rsidRPr="00AF06D2">
        <w:rPr>
          <w:rFonts w:ascii="Verdana" w:hAnsi="Verdana"/>
          <w:sz w:val="20"/>
          <w:szCs w:val="20"/>
          <w:lang w:val="en-GB"/>
        </w:rPr>
        <w:t xml:space="preserve"> Nordic Shipholding’s divestment of its chemical tanker division to the private equity fund Triton in March 2012, the Company’s debt still remained substantial, which resulted in the Company and the lending banks entering into a new moratorium agreement in force until March 2013, </w:t>
      </w:r>
      <w:r>
        <w:rPr>
          <w:rFonts w:ascii="Verdana" w:hAnsi="Verdana"/>
          <w:sz w:val="20"/>
          <w:szCs w:val="20"/>
          <w:lang w:val="en-GB"/>
        </w:rPr>
        <w:t xml:space="preserve">and </w:t>
      </w:r>
      <w:r w:rsidRPr="00AF06D2">
        <w:rPr>
          <w:rFonts w:ascii="Verdana" w:hAnsi="Verdana"/>
          <w:sz w:val="20"/>
          <w:szCs w:val="20"/>
          <w:lang w:val="en-GB"/>
        </w:rPr>
        <w:t>subsequently extended until 31 December 2013.</w:t>
      </w:r>
      <w:r>
        <w:rPr>
          <w:rFonts w:ascii="Verdana" w:hAnsi="Verdana"/>
          <w:sz w:val="20"/>
          <w:szCs w:val="20"/>
          <w:lang w:val="en-GB"/>
        </w:rPr>
        <w:t xml:space="preserve">  </w:t>
      </w:r>
    </w:p>
    <w:p w:rsidR="00512967" w:rsidRPr="00512967" w:rsidRDefault="00C62C39" w:rsidP="00512967">
      <w:pPr>
        <w:spacing w:line="240" w:lineRule="auto"/>
        <w:ind w:right="-1"/>
        <w:jc w:val="both"/>
        <w:rPr>
          <w:rFonts w:ascii="Verdana" w:hAnsi="Verdana"/>
          <w:sz w:val="20"/>
          <w:szCs w:val="20"/>
          <w:lang w:val="en-GB"/>
        </w:rPr>
      </w:pPr>
      <w:r w:rsidRPr="00F70042">
        <w:rPr>
          <w:rFonts w:ascii="Verdana" w:hAnsi="Verdana"/>
          <w:sz w:val="20"/>
          <w:szCs w:val="20"/>
          <w:lang w:val="en-GB"/>
        </w:rPr>
        <w:t>In February 2013</w:t>
      </w:r>
      <w:r>
        <w:rPr>
          <w:rFonts w:ascii="Verdana" w:hAnsi="Verdana"/>
          <w:sz w:val="20"/>
          <w:szCs w:val="20"/>
          <w:lang w:val="en-GB"/>
        </w:rPr>
        <w:t>,</w:t>
      </w:r>
      <w:r w:rsidRPr="00F70042">
        <w:rPr>
          <w:rFonts w:ascii="Verdana" w:hAnsi="Verdana"/>
          <w:sz w:val="20"/>
          <w:szCs w:val="20"/>
          <w:lang w:val="en-GB"/>
        </w:rPr>
        <w:t xml:space="preserve"> the Company assigned the vendor note from the sale of the chemical tanker </w:t>
      </w:r>
      <w:r w:rsidRPr="00512967">
        <w:rPr>
          <w:rFonts w:ascii="Verdana" w:hAnsi="Verdana"/>
          <w:sz w:val="20"/>
          <w:szCs w:val="20"/>
          <w:lang w:val="en-GB"/>
        </w:rPr>
        <w:t xml:space="preserve">activities to Clipper, whereby the debt to Clipper </w:t>
      </w:r>
      <w:r w:rsidR="00512967" w:rsidRPr="00512967">
        <w:rPr>
          <w:rFonts w:ascii="Verdana" w:hAnsi="Verdana"/>
          <w:sz w:val="20"/>
          <w:szCs w:val="20"/>
          <w:lang w:val="en-GB"/>
        </w:rPr>
        <w:t>of</w:t>
      </w:r>
      <w:r w:rsidRPr="00512967">
        <w:rPr>
          <w:rFonts w:ascii="Verdana" w:hAnsi="Verdana"/>
          <w:sz w:val="20"/>
          <w:szCs w:val="20"/>
          <w:lang w:val="en-GB"/>
        </w:rPr>
        <w:t xml:space="preserve"> USD</w:t>
      </w:r>
      <w:r w:rsidR="00E53D3E" w:rsidRPr="00512967">
        <w:rPr>
          <w:rFonts w:ascii="Verdana" w:hAnsi="Verdana"/>
          <w:sz w:val="20"/>
          <w:szCs w:val="20"/>
          <w:lang w:val="en-GB"/>
        </w:rPr>
        <w:t xml:space="preserve"> </w:t>
      </w:r>
      <w:r w:rsidRPr="00512967">
        <w:rPr>
          <w:rFonts w:ascii="Verdana" w:hAnsi="Verdana"/>
          <w:sz w:val="20"/>
          <w:szCs w:val="20"/>
          <w:lang w:val="en-GB"/>
        </w:rPr>
        <w:t xml:space="preserve">15.1 million </w:t>
      </w:r>
      <w:r w:rsidR="00512967" w:rsidRPr="00512967">
        <w:rPr>
          <w:rFonts w:ascii="Verdana" w:hAnsi="Verdana"/>
          <w:sz w:val="20"/>
          <w:szCs w:val="20"/>
          <w:lang w:val="en-GB"/>
        </w:rPr>
        <w:t>was eliminated.</w:t>
      </w:r>
    </w:p>
    <w:p w:rsidR="00C62C39" w:rsidRPr="00512967" w:rsidRDefault="00C62C39" w:rsidP="00512967">
      <w:pPr>
        <w:spacing w:line="240" w:lineRule="auto"/>
        <w:ind w:right="-1"/>
        <w:jc w:val="both"/>
        <w:rPr>
          <w:rFonts w:ascii="Verdana" w:hAnsi="Verdana"/>
          <w:sz w:val="20"/>
          <w:szCs w:val="20"/>
          <w:lang w:val="en-GB"/>
        </w:rPr>
      </w:pPr>
      <w:r w:rsidRPr="00512967">
        <w:rPr>
          <w:rFonts w:ascii="Verdana" w:hAnsi="Verdana"/>
          <w:sz w:val="20"/>
          <w:szCs w:val="20"/>
          <w:lang w:val="en-GB"/>
        </w:rPr>
        <w:t>On 22 November 2013, the Company announced that it had signed a restructuring agreement with Nordic Maritime and its lending banks, subject to the following conditions:</w:t>
      </w:r>
    </w:p>
    <w:p w:rsidR="00C62C39" w:rsidRPr="00F70042" w:rsidRDefault="00C62C39" w:rsidP="00C62C39">
      <w:pPr>
        <w:pStyle w:val="TextMainCharCharCharChar"/>
        <w:spacing w:line="240" w:lineRule="auto"/>
        <w:ind w:left="1080" w:right="-1" w:hanging="360"/>
        <w:rPr>
          <w:sz w:val="20"/>
          <w:szCs w:val="20"/>
          <w:lang w:val="en-GB"/>
        </w:rPr>
      </w:pPr>
      <w:r w:rsidRPr="00F70042">
        <w:rPr>
          <w:sz w:val="20"/>
          <w:szCs w:val="20"/>
          <w:lang w:val="en-GB"/>
        </w:rPr>
        <w:t>-</w:t>
      </w:r>
      <w:r>
        <w:rPr>
          <w:sz w:val="20"/>
          <w:szCs w:val="20"/>
          <w:lang w:val="en-GB"/>
        </w:rPr>
        <w:tab/>
      </w:r>
      <w:r w:rsidRPr="00F70042">
        <w:rPr>
          <w:sz w:val="20"/>
          <w:szCs w:val="20"/>
          <w:lang w:val="en-GB"/>
        </w:rPr>
        <w:t>a preliminary dispensation issued to Nordic Maritime by the Danish FSA from the obligation to submit a mandatory tender offer;</w:t>
      </w:r>
    </w:p>
    <w:p w:rsidR="00C62C39" w:rsidRPr="00F70042" w:rsidRDefault="00C62C39" w:rsidP="00C62C39">
      <w:pPr>
        <w:pStyle w:val="TextMainCharCharCharChar"/>
        <w:spacing w:line="240" w:lineRule="auto"/>
        <w:ind w:left="1080" w:right="-1" w:hanging="360"/>
        <w:rPr>
          <w:sz w:val="20"/>
          <w:szCs w:val="20"/>
          <w:lang w:val="en-GB"/>
        </w:rPr>
      </w:pPr>
      <w:r w:rsidRPr="00F70042">
        <w:rPr>
          <w:sz w:val="20"/>
          <w:szCs w:val="20"/>
          <w:lang w:val="en-GB"/>
        </w:rPr>
        <w:t>-</w:t>
      </w:r>
      <w:r>
        <w:rPr>
          <w:sz w:val="20"/>
          <w:szCs w:val="20"/>
          <w:lang w:val="en-GB"/>
        </w:rPr>
        <w:tab/>
      </w:r>
      <w:r w:rsidRPr="00F70042">
        <w:rPr>
          <w:sz w:val="20"/>
          <w:szCs w:val="20"/>
          <w:lang w:val="en-GB"/>
        </w:rPr>
        <w:t>approval from the Company’s general meeting to decrease the Comp</w:t>
      </w:r>
      <w:r w:rsidR="001811F8">
        <w:rPr>
          <w:sz w:val="20"/>
          <w:szCs w:val="20"/>
          <w:lang w:val="en-GB"/>
        </w:rPr>
        <w:t>any’s share capital and authoris</w:t>
      </w:r>
      <w:r w:rsidRPr="00F70042">
        <w:rPr>
          <w:sz w:val="20"/>
          <w:szCs w:val="20"/>
          <w:lang w:val="en-GB"/>
        </w:rPr>
        <w:t>e the issue of new shares in connection with a debt conversion and an option granted to Nordic Maritime to invest additional USD</w:t>
      </w:r>
      <w:r w:rsidR="00E53D3E">
        <w:rPr>
          <w:sz w:val="20"/>
          <w:szCs w:val="20"/>
          <w:lang w:val="en-GB"/>
        </w:rPr>
        <w:t xml:space="preserve"> </w:t>
      </w:r>
      <w:r w:rsidRPr="00F70042">
        <w:rPr>
          <w:sz w:val="20"/>
          <w:szCs w:val="20"/>
          <w:lang w:val="en-GB"/>
        </w:rPr>
        <w:t>2</w:t>
      </w:r>
      <w:r w:rsidR="00E53D3E">
        <w:rPr>
          <w:sz w:val="20"/>
          <w:szCs w:val="20"/>
          <w:lang w:val="en-GB"/>
        </w:rPr>
        <w:t>.0</w:t>
      </w:r>
      <w:r w:rsidRPr="00F70042">
        <w:rPr>
          <w:sz w:val="20"/>
          <w:szCs w:val="20"/>
          <w:lang w:val="en-GB"/>
        </w:rPr>
        <w:t xml:space="preserve"> million; and</w:t>
      </w:r>
    </w:p>
    <w:p w:rsidR="00C62C39" w:rsidRPr="00F70042" w:rsidRDefault="00C62C39" w:rsidP="00C62C39">
      <w:pPr>
        <w:autoSpaceDE w:val="0"/>
        <w:autoSpaceDN w:val="0"/>
        <w:adjustRightInd w:val="0"/>
        <w:spacing w:after="0" w:line="240" w:lineRule="auto"/>
        <w:ind w:left="1080" w:right="-1" w:hanging="360"/>
        <w:rPr>
          <w:rFonts w:ascii="Verdana" w:hAnsi="Verdana"/>
          <w:sz w:val="20"/>
          <w:szCs w:val="20"/>
          <w:lang w:val="en-GB"/>
        </w:rPr>
      </w:pPr>
      <w:r w:rsidRPr="00F70042">
        <w:rPr>
          <w:rFonts w:ascii="Verdana" w:hAnsi="Verdana"/>
          <w:sz w:val="20"/>
          <w:szCs w:val="20"/>
          <w:lang w:val="en-GB"/>
        </w:rPr>
        <w:t>-</w:t>
      </w:r>
      <w:r>
        <w:rPr>
          <w:rFonts w:ascii="Verdana" w:hAnsi="Verdana"/>
          <w:sz w:val="20"/>
          <w:szCs w:val="20"/>
          <w:lang w:val="en-GB"/>
        </w:rPr>
        <w:tab/>
      </w:r>
      <w:r w:rsidRPr="00F70042">
        <w:rPr>
          <w:rFonts w:ascii="Verdana" w:hAnsi="Verdana"/>
          <w:sz w:val="20"/>
          <w:szCs w:val="20"/>
          <w:lang w:val="en-GB"/>
        </w:rPr>
        <w:t>a certain minimum net working capital level of the Group being in place up until the general meeting</w:t>
      </w:r>
      <w:r>
        <w:rPr>
          <w:rFonts w:ascii="Verdana" w:hAnsi="Verdana"/>
          <w:sz w:val="20"/>
          <w:szCs w:val="20"/>
          <w:lang w:val="en-GB"/>
        </w:rPr>
        <w:t xml:space="preserve"> o</w:t>
      </w:r>
      <w:r w:rsidRPr="00F70042">
        <w:rPr>
          <w:rFonts w:ascii="Verdana" w:hAnsi="Verdana"/>
          <w:sz w:val="20"/>
          <w:szCs w:val="20"/>
          <w:lang w:val="en-GB"/>
        </w:rPr>
        <w:t>n 17 December 2013.</w:t>
      </w:r>
    </w:p>
    <w:p w:rsidR="00C62C39" w:rsidRDefault="00C62C39" w:rsidP="00C62C39">
      <w:pPr>
        <w:autoSpaceDE w:val="0"/>
        <w:autoSpaceDN w:val="0"/>
        <w:adjustRightInd w:val="0"/>
        <w:spacing w:after="0" w:line="240" w:lineRule="auto"/>
        <w:jc w:val="both"/>
        <w:rPr>
          <w:rFonts w:ascii="Verdana" w:hAnsi="Verdana"/>
          <w:sz w:val="20"/>
          <w:szCs w:val="20"/>
        </w:rPr>
      </w:pPr>
    </w:p>
    <w:p w:rsidR="00C62C39" w:rsidRPr="00AF06D2" w:rsidRDefault="00C62C39" w:rsidP="00C62C39">
      <w:pPr>
        <w:autoSpaceDE w:val="0"/>
        <w:autoSpaceDN w:val="0"/>
        <w:adjustRightInd w:val="0"/>
        <w:spacing w:after="0" w:line="240" w:lineRule="auto"/>
        <w:jc w:val="both"/>
        <w:rPr>
          <w:rFonts w:ascii="Verdana" w:hAnsi="Verdana"/>
          <w:sz w:val="20"/>
          <w:szCs w:val="20"/>
        </w:rPr>
      </w:pPr>
      <w:r w:rsidRPr="00AF06D2">
        <w:rPr>
          <w:rFonts w:ascii="Verdana" w:hAnsi="Verdana"/>
          <w:sz w:val="20"/>
          <w:szCs w:val="20"/>
        </w:rPr>
        <w:t xml:space="preserve">Following </w:t>
      </w:r>
      <w:r>
        <w:rPr>
          <w:rFonts w:ascii="Verdana" w:hAnsi="Verdana"/>
          <w:sz w:val="20"/>
          <w:szCs w:val="20"/>
        </w:rPr>
        <w:t>the fulfilment</w:t>
      </w:r>
      <w:r w:rsidRPr="00AF06D2">
        <w:rPr>
          <w:rFonts w:ascii="Verdana" w:hAnsi="Verdana"/>
          <w:sz w:val="20"/>
          <w:szCs w:val="20"/>
        </w:rPr>
        <w:t xml:space="preserve"> of the conditions above, the </w:t>
      </w:r>
      <w:r>
        <w:rPr>
          <w:rFonts w:ascii="Verdana" w:hAnsi="Verdana"/>
          <w:sz w:val="20"/>
          <w:szCs w:val="20"/>
        </w:rPr>
        <w:t>r</w:t>
      </w:r>
      <w:r w:rsidRPr="00AF06D2">
        <w:rPr>
          <w:rFonts w:ascii="Verdana" w:hAnsi="Verdana"/>
          <w:sz w:val="20"/>
          <w:szCs w:val="20"/>
        </w:rPr>
        <w:t xml:space="preserve">estructuring was completed on 19 December 2013. </w:t>
      </w:r>
      <w:r>
        <w:rPr>
          <w:rFonts w:ascii="Verdana" w:hAnsi="Verdana"/>
          <w:sz w:val="20"/>
          <w:szCs w:val="20"/>
        </w:rPr>
        <w:t xml:space="preserve"> </w:t>
      </w:r>
      <w:r w:rsidRPr="00AF06D2">
        <w:rPr>
          <w:rFonts w:ascii="Verdana" w:hAnsi="Verdana"/>
          <w:sz w:val="20"/>
          <w:szCs w:val="20"/>
        </w:rPr>
        <w:t xml:space="preserve">As part of the </w:t>
      </w:r>
      <w:r>
        <w:rPr>
          <w:rFonts w:ascii="Verdana" w:hAnsi="Verdana"/>
          <w:sz w:val="20"/>
          <w:szCs w:val="20"/>
        </w:rPr>
        <w:t>r</w:t>
      </w:r>
      <w:r w:rsidRPr="00AF06D2">
        <w:rPr>
          <w:rFonts w:ascii="Verdana" w:hAnsi="Verdana"/>
          <w:sz w:val="20"/>
          <w:szCs w:val="20"/>
        </w:rPr>
        <w:t xml:space="preserve">estructuring, a new shareholder structure of the Company was implemented and the </w:t>
      </w:r>
      <w:r>
        <w:rPr>
          <w:rFonts w:ascii="Verdana" w:hAnsi="Verdana"/>
          <w:sz w:val="20"/>
          <w:szCs w:val="20"/>
        </w:rPr>
        <w:t>pre-re</w:t>
      </w:r>
      <w:r w:rsidRPr="00AF06D2">
        <w:rPr>
          <w:rFonts w:ascii="Verdana" w:hAnsi="Verdana"/>
          <w:sz w:val="20"/>
          <w:szCs w:val="20"/>
        </w:rPr>
        <w:t xml:space="preserve">structuring </w:t>
      </w:r>
      <w:r>
        <w:rPr>
          <w:rFonts w:ascii="Verdana" w:hAnsi="Verdana"/>
          <w:sz w:val="20"/>
          <w:szCs w:val="20"/>
        </w:rPr>
        <w:t>s</w:t>
      </w:r>
      <w:r w:rsidRPr="00AF06D2">
        <w:rPr>
          <w:rFonts w:ascii="Verdana" w:hAnsi="Verdana"/>
          <w:sz w:val="20"/>
          <w:szCs w:val="20"/>
        </w:rPr>
        <w:t>hareholders retained 9.59% ownership of Nordic Shipholding, the lending banks obtained 14.38% ownership and Nordic Maritime obtained 76.03%.</w:t>
      </w:r>
    </w:p>
    <w:p w:rsidR="00C62C39" w:rsidRPr="00F70042" w:rsidRDefault="00C62C39" w:rsidP="00C62C39">
      <w:pPr>
        <w:pStyle w:val="ListParagraph"/>
        <w:autoSpaceDE w:val="0"/>
        <w:autoSpaceDN w:val="0"/>
        <w:adjustRightInd w:val="0"/>
        <w:ind w:right="-1"/>
        <w:jc w:val="both"/>
        <w:rPr>
          <w:rFonts w:ascii="Verdana" w:hAnsi="Verdana"/>
          <w:sz w:val="20"/>
          <w:szCs w:val="20"/>
        </w:rPr>
      </w:pPr>
    </w:p>
    <w:p w:rsidR="00C62C39" w:rsidRPr="00AF06D2" w:rsidRDefault="00C62C39" w:rsidP="00C62C39">
      <w:pPr>
        <w:autoSpaceDE w:val="0"/>
        <w:autoSpaceDN w:val="0"/>
        <w:adjustRightInd w:val="0"/>
        <w:spacing w:after="0"/>
        <w:ind w:right="-1"/>
        <w:jc w:val="both"/>
        <w:rPr>
          <w:rFonts w:ascii="Verdana" w:hAnsi="Verdana"/>
          <w:sz w:val="20"/>
          <w:szCs w:val="20"/>
        </w:rPr>
      </w:pPr>
      <w:r>
        <w:rPr>
          <w:rFonts w:ascii="Verdana" w:hAnsi="Verdana"/>
          <w:sz w:val="20"/>
          <w:szCs w:val="20"/>
        </w:rPr>
        <w:t>The r</w:t>
      </w:r>
      <w:r w:rsidRPr="00AF06D2">
        <w:rPr>
          <w:rFonts w:ascii="Verdana" w:hAnsi="Verdana"/>
          <w:sz w:val="20"/>
          <w:szCs w:val="20"/>
        </w:rPr>
        <w:t>estructuring contains the following key elements:</w:t>
      </w:r>
    </w:p>
    <w:p w:rsidR="00C62C39" w:rsidRPr="00F70042" w:rsidRDefault="00C62C39" w:rsidP="00C62C39">
      <w:pPr>
        <w:pStyle w:val="ListParagraph"/>
        <w:jc w:val="both"/>
        <w:rPr>
          <w:rFonts w:ascii="Verdana" w:hAnsi="Verdana"/>
          <w:sz w:val="20"/>
          <w:szCs w:val="20"/>
        </w:rPr>
      </w:pPr>
    </w:p>
    <w:p w:rsidR="00C62C39" w:rsidRDefault="00C62C39" w:rsidP="00C62C39">
      <w:pPr>
        <w:pStyle w:val="ListParagraph"/>
        <w:numPr>
          <w:ilvl w:val="0"/>
          <w:numId w:val="21"/>
        </w:numPr>
        <w:tabs>
          <w:tab w:val="left" w:pos="117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r>
        <w:rPr>
          <w:rFonts w:ascii="Verdana" w:hAnsi="Verdana"/>
          <w:sz w:val="20"/>
          <w:szCs w:val="20"/>
        </w:rPr>
        <w:t>Conversion of loans into the listing s</w:t>
      </w:r>
      <w:r w:rsidRPr="00F70042">
        <w:rPr>
          <w:rFonts w:ascii="Verdana" w:hAnsi="Verdana"/>
          <w:sz w:val="20"/>
          <w:szCs w:val="20"/>
        </w:rPr>
        <w:t>hares</w:t>
      </w:r>
    </w:p>
    <w:p w:rsidR="00C62C39" w:rsidRPr="00F70042" w:rsidRDefault="00C62C39" w:rsidP="00C62C39">
      <w:pPr>
        <w:pStyle w:val="ListParagraph"/>
        <w:tabs>
          <w:tab w:val="left" w:pos="1170"/>
          <w:tab w:val="left" w:pos="1701"/>
          <w:tab w:val="left" w:pos="2835"/>
          <w:tab w:val="left" w:pos="5103"/>
          <w:tab w:val="right" w:pos="6521"/>
          <w:tab w:val="left" w:pos="7088"/>
          <w:tab w:val="right" w:pos="8606"/>
        </w:tabs>
        <w:suppressAutoHyphens/>
        <w:autoSpaceDE w:val="0"/>
        <w:autoSpaceDN w:val="0"/>
        <w:adjustRightInd w:val="0"/>
        <w:ind w:left="1080" w:right="-1"/>
        <w:jc w:val="both"/>
        <w:rPr>
          <w:rFonts w:ascii="Verdana" w:hAnsi="Verdana"/>
          <w:sz w:val="20"/>
          <w:szCs w:val="20"/>
        </w:rPr>
      </w:pPr>
    </w:p>
    <w:p w:rsidR="00C62C39" w:rsidRDefault="00C62C39" w:rsidP="00C62C39">
      <w:pPr>
        <w:pStyle w:val="ListParagraph"/>
        <w:numPr>
          <w:ilvl w:val="0"/>
          <w:numId w:val="21"/>
        </w:num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r w:rsidRPr="00F70042">
        <w:rPr>
          <w:rFonts w:ascii="Verdana" w:hAnsi="Verdana"/>
          <w:sz w:val="20"/>
          <w:szCs w:val="20"/>
        </w:rPr>
        <w:t>Refinancing of the remaining senior debt</w:t>
      </w:r>
    </w:p>
    <w:p w:rsidR="00C62C39" w:rsidRPr="00F70042" w:rsidRDefault="00C62C39" w:rsidP="00C62C39">
      <w:pPr>
        <w:pStyle w:val="ListParagraph"/>
        <w:jc w:val="both"/>
        <w:rPr>
          <w:rFonts w:ascii="Verdana" w:hAnsi="Verdana"/>
          <w:sz w:val="20"/>
          <w:szCs w:val="20"/>
        </w:rPr>
      </w:pPr>
    </w:p>
    <w:p w:rsidR="00C62C39" w:rsidRDefault="00C62C39" w:rsidP="00C62C39">
      <w:pPr>
        <w:pStyle w:val="ListParagraph"/>
        <w:numPr>
          <w:ilvl w:val="0"/>
          <w:numId w:val="21"/>
        </w:num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r w:rsidRPr="00F70042">
        <w:rPr>
          <w:rFonts w:ascii="Verdana" w:hAnsi="Verdana"/>
          <w:sz w:val="20"/>
          <w:szCs w:val="20"/>
        </w:rPr>
        <w:t>Temporary working capital loan facility</w:t>
      </w:r>
    </w:p>
    <w:p w:rsidR="00C62C39" w:rsidRPr="0010523D" w:rsidRDefault="00C62C39" w:rsidP="00C62C39">
      <w:pPr>
        <w:pStyle w:val="ListParagraph"/>
        <w:rPr>
          <w:rFonts w:ascii="Verdana" w:hAnsi="Verdana"/>
          <w:sz w:val="20"/>
          <w:szCs w:val="20"/>
        </w:rPr>
      </w:pPr>
    </w:p>
    <w:p w:rsidR="00C62C39" w:rsidRDefault="00C62C39" w:rsidP="00C62C39">
      <w:pPr>
        <w:pStyle w:val="ListParagraph"/>
        <w:numPr>
          <w:ilvl w:val="0"/>
          <w:numId w:val="21"/>
        </w:num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r>
        <w:rPr>
          <w:rFonts w:ascii="Verdana" w:hAnsi="Verdana"/>
          <w:sz w:val="20"/>
          <w:szCs w:val="20"/>
        </w:rPr>
        <w:t>Fresh equity injection of USD 2</w:t>
      </w:r>
      <w:r w:rsidR="00E53D3E">
        <w:rPr>
          <w:rFonts w:ascii="Verdana" w:hAnsi="Verdana"/>
          <w:sz w:val="20"/>
          <w:szCs w:val="20"/>
        </w:rPr>
        <w:t>.0</w:t>
      </w:r>
      <w:r>
        <w:rPr>
          <w:rFonts w:ascii="Verdana" w:hAnsi="Verdana"/>
          <w:sz w:val="20"/>
          <w:szCs w:val="20"/>
        </w:rPr>
        <w:t xml:space="preserve"> million</w:t>
      </w:r>
    </w:p>
    <w:p w:rsidR="00C62C39" w:rsidRPr="00C62C39" w:rsidRDefault="00C62C39" w:rsidP="00C62C39">
      <w:pPr>
        <w:pStyle w:val="ListParagraph"/>
        <w:rPr>
          <w:rFonts w:ascii="Verdana" w:hAnsi="Verdana"/>
          <w:sz w:val="20"/>
          <w:szCs w:val="20"/>
        </w:rPr>
      </w:pPr>
    </w:p>
    <w:p w:rsidR="00C62C39" w:rsidRDefault="00C62C39"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512967" w:rsidRDefault="00512967"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512967" w:rsidRDefault="00512967"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512967" w:rsidRDefault="00512967"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512967" w:rsidRDefault="00512967"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C62C39" w:rsidRDefault="00C62C39"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261052" w:rsidRDefault="00261052"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261052" w:rsidRDefault="00261052" w:rsidP="00C62C39">
      <w:pPr>
        <w:tabs>
          <w:tab w:val="left" w:pos="1080"/>
          <w:tab w:val="left" w:pos="1701"/>
          <w:tab w:val="left" w:pos="2835"/>
          <w:tab w:val="left" w:pos="5103"/>
          <w:tab w:val="right" w:pos="6521"/>
          <w:tab w:val="left" w:pos="7088"/>
          <w:tab w:val="right" w:pos="8606"/>
        </w:tabs>
        <w:suppressAutoHyphens/>
        <w:autoSpaceDE w:val="0"/>
        <w:autoSpaceDN w:val="0"/>
        <w:adjustRightInd w:val="0"/>
        <w:ind w:right="-1"/>
        <w:jc w:val="both"/>
        <w:rPr>
          <w:rFonts w:ascii="Verdana" w:hAnsi="Verdana"/>
          <w:sz w:val="20"/>
          <w:szCs w:val="20"/>
        </w:rPr>
      </w:pPr>
    </w:p>
    <w:p w:rsidR="00C62C39" w:rsidRDefault="00C62C39" w:rsidP="00C62C39">
      <w:pPr>
        <w:spacing w:after="0" w:line="240" w:lineRule="auto"/>
        <w:jc w:val="both"/>
        <w:rPr>
          <w:rFonts w:ascii="Verdana" w:hAnsi="Verdana" w:cs="Arial"/>
          <w:sz w:val="20"/>
          <w:szCs w:val="20"/>
          <w:lang w:val="en"/>
        </w:rPr>
      </w:pPr>
    </w:p>
    <w:p w:rsidR="00C62C39" w:rsidRDefault="00C62C39" w:rsidP="001F4E7B">
      <w:pPr>
        <w:jc w:val="both"/>
        <w:rPr>
          <w:rFonts w:ascii="Verdana" w:hAnsi="Verdana" w:cs="Arial"/>
          <w:sz w:val="20"/>
          <w:szCs w:val="20"/>
          <w:lang w:val="en"/>
        </w:rPr>
      </w:pPr>
      <w:r>
        <w:rPr>
          <w:rFonts w:ascii="Verdana" w:hAnsi="Verdana" w:cstheme="minorHAnsi"/>
          <w:sz w:val="20"/>
          <w:szCs w:val="20"/>
        </w:rPr>
        <w:t>The table below shows the financial impact of the restructuring</w:t>
      </w:r>
      <w:r w:rsidR="001F4E7B">
        <w:rPr>
          <w:rFonts w:ascii="Verdana" w:hAnsi="Verdana" w:cstheme="minorHAnsi"/>
          <w:sz w:val="20"/>
          <w:szCs w:val="20"/>
        </w:rPr>
        <w:t>:</w:t>
      </w:r>
      <w:r>
        <w:rPr>
          <w:rFonts w:ascii="Verdana" w:hAnsi="Verdana" w:cstheme="minorHAnsi"/>
          <w:sz w:val="20"/>
          <w:szCs w:val="20"/>
        </w:rPr>
        <w:t xml:space="preserve">  </w:t>
      </w:r>
    </w:p>
    <w:p w:rsidR="00C62C39" w:rsidRDefault="00C62C39" w:rsidP="00C62C39">
      <w:pPr>
        <w:spacing w:after="0" w:line="240" w:lineRule="auto"/>
        <w:jc w:val="both"/>
        <w:rPr>
          <w:rFonts w:ascii="Verdana" w:hAnsi="Verdana" w:cs="Arial"/>
          <w:sz w:val="20"/>
          <w:szCs w:val="20"/>
          <w:lang w:val="en"/>
        </w:rPr>
      </w:pPr>
    </w:p>
    <w:tbl>
      <w:tblPr>
        <w:tblW w:w="9253" w:type="dxa"/>
        <w:tblInd w:w="55" w:type="dxa"/>
        <w:tblCellMar>
          <w:left w:w="70" w:type="dxa"/>
          <w:right w:w="70" w:type="dxa"/>
        </w:tblCellMar>
        <w:tblLook w:val="04A0" w:firstRow="1" w:lastRow="0" w:firstColumn="1" w:lastColumn="0" w:noHBand="0" w:noVBand="1"/>
      </w:tblPr>
      <w:tblGrid>
        <w:gridCol w:w="2399"/>
        <w:gridCol w:w="1102"/>
        <w:gridCol w:w="1164"/>
        <w:gridCol w:w="1090"/>
        <w:gridCol w:w="1108"/>
        <w:gridCol w:w="1225"/>
        <w:gridCol w:w="1165"/>
      </w:tblGrid>
      <w:tr w:rsidR="00C62C39" w:rsidRPr="00B813BC" w:rsidTr="004E41E9">
        <w:trPr>
          <w:trHeight w:val="1200"/>
        </w:trPr>
        <w:tc>
          <w:tcPr>
            <w:tcW w:w="2399" w:type="dxa"/>
            <w:tcBorders>
              <w:top w:val="single" w:sz="8" w:space="0" w:color="auto"/>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USD thousand</w:t>
            </w:r>
          </w:p>
        </w:tc>
        <w:tc>
          <w:tcPr>
            <w:tcW w:w="1102" w:type="dxa"/>
            <w:tcBorders>
              <w:top w:val="single" w:sz="8" w:space="0" w:color="auto"/>
              <w:left w:val="nil"/>
              <w:bottom w:val="nil"/>
              <w:right w:val="nil"/>
            </w:tcBorders>
            <w:shd w:val="clear" w:color="auto" w:fill="auto"/>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Capital  reduction</w:t>
            </w:r>
          </w:p>
        </w:tc>
        <w:tc>
          <w:tcPr>
            <w:tcW w:w="1164" w:type="dxa"/>
            <w:tcBorders>
              <w:top w:val="single" w:sz="8" w:space="0" w:color="auto"/>
              <w:left w:val="nil"/>
              <w:bottom w:val="nil"/>
              <w:right w:val="nil"/>
            </w:tcBorders>
            <w:shd w:val="clear" w:color="auto" w:fill="auto"/>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lang w:val="en-GB"/>
              </w:rPr>
            </w:pPr>
            <w:r w:rsidRPr="00B813BC">
              <w:rPr>
                <w:rFonts w:ascii="Verdana" w:eastAsia="Times New Roman" w:hAnsi="Verdana" w:cs="Times New Roman"/>
                <w:b/>
                <w:bCs/>
                <w:color w:val="000000"/>
                <w:sz w:val="16"/>
                <w:szCs w:val="16"/>
                <w:lang w:val="en-GB"/>
              </w:rPr>
              <w:t>Conversion of debt and swap</w:t>
            </w:r>
          </w:p>
        </w:tc>
        <w:tc>
          <w:tcPr>
            <w:tcW w:w="1090" w:type="dxa"/>
            <w:tcBorders>
              <w:top w:val="single" w:sz="8" w:space="0" w:color="auto"/>
              <w:left w:val="nil"/>
              <w:bottom w:val="nil"/>
              <w:right w:val="nil"/>
            </w:tcBorders>
            <w:shd w:val="clear" w:color="auto" w:fill="auto"/>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lang w:val="en-GB"/>
              </w:rPr>
            </w:pPr>
            <w:r w:rsidRPr="00B813BC">
              <w:rPr>
                <w:rFonts w:ascii="Verdana" w:eastAsia="Times New Roman" w:hAnsi="Verdana" w:cs="Times New Roman"/>
                <w:b/>
                <w:bCs/>
                <w:color w:val="000000"/>
                <w:sz w:val="16"/>
                <w:szCs w:val="16"/>
                <w:lang w:val="en-GB"/>
              </w:rPr>
              <w:t>Draw down working capital line</w:t>
            </w:r>
          </w:p>
        </w:tc>
        <w:tc>
          <w:tcPr>
            <w:tcW w:w="1108" w:type="dxa"/>
            <w:tcBorders>
              <w:top w:val="single" w:sz="8" w:space="0" w:color="auto"/>
              <w:left w:val="nil"/>
              <w:bottom w:val="nil"/>
              <w:right w:val="nil"/>
            </w:tcBorders>
            <w:shd w:val="clear" w:color="auto" w:fill="auto"/>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Additional capital</w:t>
            </w:r>
          </w:p>
        </w:tc>
        <w:tc>
          <w:tcPr>
            <w:tcW w:w="1225" w:type="dxa"/>
            <w:tcBorders>
              <w:top w:val="single" w:sz="8" w:space="0" w:color="auto"/>
              <w:left w:val="nil"/>
              <w:bottom w:val="nil"/>
              <w:right w:val="nil"/>
            </w:tcBorders>
            <w:shd w:val="clear" w:color="auto" w:fill="auto"/>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New loan agreements</w:t>
            </w:r>
          </w:p>
        </w:tc>
        <w:tc>
          <w:tcPr>
            <w:tcW w:w="1165" w:type="dxa"/>
            <w:tcBorders>
              <w:top w:val="single" w:sz="8" w:space="0" w:color="auto"/>
              <w:left w:val="single" w:sz="4" w:space="0" w:color="auto"/>
              <w:bottom w:val="nil"/>
              <w:right w:val="single" w:sz="8" w:space="0" w:color="auto"/>
            </w:tcBorders>
            <w:shd w:val="clear" w:color="auto" w:fill="auto"/>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Net Accounting Impact</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xml:space="preserve">Note </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1</w:t>
            </w: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2</w:t>
            </w: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3</w:t>
            </w: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4</w:t>
            </w: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center"/>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5</w:t>
            </w: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00"/>
        </w:trPr>
        <w:tc>
          <w:tcPr>
            <w:tcW w:w="3501" w:type="dxa"/>
            <w:gridSpan w:val="2"/>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Gain from debt conversion</w:t>
            </w:r>
          </w:p>
        </w:tc>
        <w:tc>
          <w:tcPr>
            <w:tcW w:w="1164" w:type="dxa"/>
            <w:tcBorders>
              <w:top w:val="nil"/>
              <w:left w:val="nil"/>
              <w:bottom w:val="nil"/>
              <w:right w:val="nil"/>
            </w:tcBorders>
            <w:shd w:val="clear" w:color="auto" w:fill="auto"/>
            <w:noWrap/>
            <w:vAlign w:val="bottom"/>
          </w:tcPr>
          <w:p w:rsidR="00C62C39" w:rsidRPr="00C62C39" w:rsidRDefault="0027692B" w:rsidP="00C62C3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28,561</w:t>
            </w: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27692B">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28,</w:t>
            </w:r>
            <w:r w:rsidR="0027692B">
              <w:rPr>
                <w:rFonts w:ascii="Verdana" w:eastAsia="Times New Roman" w:hAnsi="Verdana" w:cs="Times New Roman"/>
                <w:color w:val="000000"/>
                <w:sz w:val="16"/>
                <w:szCs w:val="16"/>
              </w:rPr>
              <w:t>561</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Result after tax</w:t>
            </w:r>
          </w:p>
        </w:tc>
        <w:tc>
          <w:tcPr>
            <w:tcW w:w="1102"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4" w:type="dxa"/>
            <w:tcBorders>
              <w:top w:val="single" w:sz="4" w:space="0" w:color="auto"/>
              <w:left w:val="nil"/>
              <w:bottom w:val="single" w:sz="4" w:space="0" w:color="auto"/>
              <w:right w:val="nil"/>
            </w:tcBorders>
            <w:shd w:val="clear" w:color="auto" w:fill="auto"/>
            <w:noWrap/>
            <w:vAlign w:val="bottom"/>
          </w:tcPr>
          <w:p w:rsidR="00C62C39" w:rsidRPr="00C62C39" w:rsidRDefault="0027692B" w:rsidP="004E41E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28,561</w:t>
            </w:r>
          </w:p>
        </w:tc>
        <w:tc>
          <w:tcPr>
            <w:tcW w:w="1090"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08"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225"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C62C39" w:rsidRPr="00B813BC" w:rsidRDefault="00C62C39" w:rsidP="0027692B">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28,</w:t>
            </w:r>
            <w:r w:rsidR="0027692B">
              <w:rPr>
                <w:rFonts w:ascii="Verdana" w:eastAsia="Times New Roman" w:hAnsi="Verdana" w:cs="Times New Roman"/>
                <w:b/>
                <w:bCs/>
                <w:color w:val="000000"/>
                <w:sz w:val="16"/>
                <w:szCs w:val="16"/>
              </w:rPr>
              <w:t>561</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00"/>
        </w:trPr>
        <w:tc>
          <w:tcPr>
            <w:tcW w:w="3501" w:type="dxa"/>
            <w:gridSpan w:val="2"/>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Cash and cash equivalents</w:t>
            </w: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4</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000</w:t>
            </w: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2,</w:t>
            </w:r>
            <w:r w:rsidRPr="00B813BC">
              <w:rPr>
                <w:rFonts w:ascii="Verdana" w:eastAsia="Times New Roman" w:hAnsi="Verdana" w:cs="Times New Roman"/>
                <w:color w:val="000000"/>
                <w:sz w:val="16"/>
                <w:szCs w:val="16"/>
              </w:rPr>
              <w:t>000</w:t>
            </w: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6,</w:t>
            </w:r>
            <w:r w:rsidRPr="00B813BC">
              <w:rPr>
                <w:rFonts w:ascii="Verdana" w:eastAsia="Times New Roman" w:hAnsi="Verdana" w:cs="Times New Roman"/>
                <w:color w:val="000000"/>
                <w:sz w:val="16"/>
                <w:szCs w:val="16"/>
              </w:rPr>
              <w:t>000</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Total Assets</w:t>
            </w:r>
          </w:p>
        </w:tc>
        <w:tc>
          <w:tcPr>
            <w:tcW w:w="1102"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4"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090"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4,</w:t>
            </w:r>
            <w:r w:rsidRPr="00B813BC">
              <w:rPr>
                <w:rFonts w:ascii="Verdana" w:eastAsia="Times New Roman" w:hAnsi="Verdana" w:cs="Times New Roman"/>
                <w:b/>
                <w:bCs/>
                <w:color w:val="000000"/>
                <w:sz w:val="16"/>
                <w:szCs w:val="16"/>
              </w:rPr>
              <w:t>000</w:t>
            </w:r>
          </w:p>
        </w:tc>
        <w:tc>
          <w:tcPr>
            <w:tcW w:w="1108"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2,</w:t>
            </w:r>
            <w:r w:rsidRPr="00B813BC">
              <w:rPr>
                <w:rFonts w:ascii="Verdana" w:eastAsia="Times New Roman" w:hAnsi="Verdana" w:cs="Times New Roman"/>
                <w:b/>
                <w:bCs/>
                <w:color w:val="000000"/>
                <w:sz w:val="16"/>
                <w:szCs w:val="16"/>
              </w:rPr>
              <w:t>000</w:t>
            </w:r>
          </w:p>
        </w:tc>
        <w:tc>
          <w:tcPr>
            <w:tcW w:w="1225"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6</w:t>
            </w:r>
            <w:r>
              <w:rPr>
                <w:rFonts w:ascii="Verdana" w:eastAsia="Times New Roman" w:hAnsi="Verdana" w:cs="Times New Roman"/>
                <w:b/>
                <w:bCs/>
                <w:color w:val="000000"/>
                <w:sz w:val="16"/>
                <w:szCs w:val="16"/>
              </w:rPr>
              <w:t>,</w:t>
            </w:r>
            <w:r w:rsidRPr="00B813BC">
              <w:rPr>
                <w:rFonts w:ascii="Verdana" w:eastAsia="Times New Roman" w:hAnsi="Verdana" w:cs="Times New Roman"/>
                <w:b/>
                <w:bCs/>
                <w:color w:val="000000"/>
                <w:sz w:val="16"/>
                <w:szCs w:val="16"/>
              </w:rPr>
              <w:t>000</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Share capital</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(6,</w:t>
            </w:r>
            <w:r w:rsidRPr="00B813BC">
              <w:rPr>
                <w:rFonts w:ascii="Verdana" w:eastAsia="Times New Roman" w:hAnsi="Verdana" w:cs="Times New Roman"/>
                <w:color w:val="000000"/>
                <w:sz w:val="16"/>
                <w:szCs w:val="16"/>
              </w:rPr>
              <w:t>024</w:t>
            </w:r>
            <w:r>
              <w:rPr>
                <w:rFonts w:ascii="Verdana" w:eastAsia="Times New Roman" w:hAnsi="Verdana" w:cs="Times New Roman"/>
                <w:color w:val="000000"/>
                <w:sz w:val="16"/>
                <w:szCs w:val="16"/>
              </w:rPr>
              <w:t>)</w:t>
            </w:r>
          </w:p>
        </w:tc>
        <w:tc>
          <w:tcPr>
            <w:tcW w:w="1164"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6</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460</w:t>
            </w: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308</w:t>
            </w: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744</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Retained Earnings</w:t>
            </w:r>
          </w:p>
        </w:tc>
        <w:tc>
          <w:tcPr>
            <w:tcW w:w="1102"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6,</w:t>
            </w:r>
            <w:r w:rsidRPr="00B813BC">
              <w:rPr>
                <w:rFonts w:ascii="Verdana" w:eastAsia="Times New Roman" w:hAnsi="Verdana" w:cs="Times New Roman"/>
                <w:color w:val="000000"/>
                <w:sz w:val="16"/>
                <w:szCs w:val="16"/>
              </w:rPr>
              <w:t>024</w:t>
            </w:r>
          </w:p>
        </w:tc>
        <w:tc>
          <w:tcPr>
            <w:tcW w:w="1164"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64</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101</w:t>
            </w: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1</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692</w:t>
            </w: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71,</w:t>
            </w:r>
            <w:r w:rsidRPr="00B813BC">
              <w:rPr>
                <w:rFonts w:ascii="Verdana" w:eastAsia="Times New Roman" w:hAnsi="Verdana" w:cs="Times New Roman"/>
                <w:color w:val="000000"/>
                <w:sz w:val="16"/>
                <w:szCs w:val="16"/>
              </w:rPr>
              <w:t>817</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Reserves</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1</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541</w:t>
            </w: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w:t>
            </w:r>
            <w:r w:rsidRPr="00B813BC">
              <w:rPr>
                <w:rFonts w:ascii="Verdana" w:eastAsia="Times New Roman" w:hAnsi="Verdana" w:cs="Times New Roman"/>
                <w:color w:val="000000"/>
                <w:sz w:val="16"/>
                <w:szCs w:val="16"/>
              </w:rPr>
              <w:t>541</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Equity</w:t>
            </w:r>
          </w:p>
        </w:tc>
        <w:tc>
          <w:tcPr>
            <w:tcW w:w="1102"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4"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72</w:t>
            </w:r>
            <w:r>
              <w:rPr>
                <w:rFonts w:ascii="Verdana" w:eastAsia="Times New Roman" w:hAnsi="Verdana" w:cs="Times New Roman"/>
                <w:b/>
                <w:bCs/>
                <w:color w:val="000000"/>
                <w:sz w:val="16"/>
                <w:szCs w:val="16"/>
              </w:rPr>
              <w:t>,</w:t>
            </w:r>
            <w:r w:rsidRPr="00B813BC">
              <w:rPr>
                <w:rFonts w:ascii="Verdana" w:eastAsia="Times New Roman" w:hAnsi="Verdana" w:cs="Times New Roman"/>
                <w:b/>
                <w:bCs/>
                <w:color w:val="000000"/>
                <w:sz w:val="16"/>
                <w:szCs w:val="16"/>
              </w:rPr>
              <w:t>102</w:t>
            </w:r>
          </w:p>
        </w:tc>
        <w:tc>
          <w:tcPr>
            <w:tcW w:w="1090"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08"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2,</w:t>
            </w:r>
            <w:r w:rsidRPr="00B813BC">
              <w:rPr>
                <w:rFonts w:ascii="Verdana" w:eastAsia="Times New Roman" w:hAnsi="Verdana" w:cs="Times New Roman"/>
                <w:b/>
                <w:bCs/>
                <w:color w:val="000000"/>
                <w:sz w:val="16"/>
                <w:szCs w:val="16"/>
              </w:rPr>
              <w:t>000</w:t>
            </w:r>
          </w:p>
        </w:tc>
        <w:tc>
          <w:tcPr>
            <w:tcW w:w="1225" w:type="dxa"/>
            <w:tcBorders>
              <w:top w:val="single" w:sz="4" w:space="0" w:color="auto"/>
              <w:left w:val="nil"/>
              <w:bottom w:val="single" w:sz="4" w:space="0" w:color="auto"/>
              <w:right w:val="nil"/>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C62C39" w:rsidRPr="00B813BC" w:rsidRDefault="00C62C39" w:rsidP="004E41E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74,</w:t>
            </w:r>
            <w:r w:rsidRPr="00B813BC">
              <w:rPr>
                <w:rFonts w:ascii="Verdana" w:eastAsia="Times New Roman" w:hAnsi="Verdana" w:cs="Times New Roman"/>
                <w:b/>
                <w:bCs/>
                <w:color w:val="000000"/>
                <w:sz w:val="16"/>
                <w:szCs w:val="16"/>
              </w:rPr>
              <w:t>102</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 </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Finance Loans</w:t>
            </w:r>
          </w:p>
        </w:tc>
        <w:tc>
          <w:tcPr>
            <w:tcW w:w="1102"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100</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000</w:t>
            </w: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100</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000</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Non-current liabilities</w:t>
            </w:r>
          </w:p>
        </w:tc>
        <w:tc>
          <w:tcPr>
            <w:tcW w:w="1102"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4"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090"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08"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225"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100,</w:t>
            </w:r>
            <w:r w:rsidRPr="00B813BC">
              <w:rPr>
                <w:rFonts w:ascii="Verdana" w:eastAsia="Times New Roman" w:hAnsi="Verdana" w:cs="Times New Roman"/>
                <w:b/>
                <w:bCs/>
                <w:color w:val="000000"/>
                <w:sz w:val="16"/>
                <w:szCs w:val="16"/>
              </w:rPr>
              <w:t>000</w:t>
            </w:r>
          </w:p>
        </w:tc>
        <w:tc>
          <w:tcPr>
            <w:tcW w:w="11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100,</w:t>
            </w:r>
            <w:r w:rsidRPr="00B813BC">
              <w:rPr>
                <w:rFonts w:ascii="Verdana" w:eastAsia="Times New Roman" w:hAnsi="Verdana" w:cs="Times New Roman"/>
                <w:b/>
                <w:bCs/>
                <w:color w:val="000000"/>
                <w:sz w:val="16"/>
                <w:szCs w:val="16"/>
              </w:rPr>
              <w:t>000</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 </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c>
          <w:tcPr>
            <w:tcW w:w="1102"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4E41E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Finance Loans</w:t>
            </w:r>
          </w:p>
        </w:tc>
        <w:tc>
          <w:tcPr>
            <w:tcW w:w="1102"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w:t>
            </w:r>
            <w:r w:rsidR="00C62C39">
              <w:rPr>
                <w:rFonts w:ascii="Verdana" w:eastAsia="Times New Roman" w:hAnsi="Verdana" w:cs="Times New Roman"/>
                <w:color w:val="000000"/>
                <w:sz w:val="16"/>
                <w:szCs w:val="16"/>
              </w:rPr>
              <w:t>70,</w:t>
            </w:r>
            <w:r w:rsidR="00C62C39" w:rsidRPr="00B813BC">
              <w:rPr>
                <w:rFonts w:ascii="Verdana" w:eastAsia="Times New Roman" w:hAnsi="Verdana" w:cs="Times New Roman"/>
                <w:color w:val="000000"/>
                <w:sz w:val="16"/>
                <w:szCs w:val="16"/>
              </w:rPr>
              <w:t>222</w:t>
            </w:r>
            <w:r>
              <w:rPr>
                <w:rFonts w:ascii="Verdana" w:eastAsia="Times New Roman" w:hAnsi="Verdana" w:cs="Times New Roman"/>
                <w:color w:val="000000"/>
                <w:sz w:val="16"/>
                <w:szCs w:val="16"/>
              </w:rPr>
              <w:t>)</w:t>
            </w:r>
          </w:p>
        </w:tc>
        <w:tc>
          <w:tcPr>
            <w:tcW w:w="1090"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4</w:t>
            </w:r>
            <w:r>
              <w:rPr>
                <w:rFonts w:ascii="Verdana" w:eastAsia="Times New Roman" w:hAnsi="Verdana" w:cs="Times New Roman"/>
                <w:color w:val="000000"/>
                <w:sz w:val="16"/>
                <w:szCs w:val="16"/>
              </w:rPr>
              <w:t>,</w:t>
            </w:r>
            <w:r w:rsidRPr="00B813BC">
              <w:rPr>
                <w:rFonts w:ascii="Verdana" w:eastAsia="Times New Roman" w:hAnsi="Verdana" w:cs="Times New Roman"/>
                <w:color w:val="000000"/>
                <w:sz w:val="16"/>
                <w:szCs w:val="16"/>
              </w:rPr>
              <w:t>000</w:t>
            </w:r>
          </w:p>
        </w:tc>
        <w:tc>
          <w:tcPr>
            <w:tcW w:w="1108"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w:t>
            </w:r>
            <w:r w:rsidR="00C62C39" w:rsidRPr="00B813BC">
              <w:rPr>
                <w:rFonts w:ascii="Verdana" w:eastAsia="Times New Roman" w:hAnsi="Verdana" w:cs="Times New Roman"/>
                <w:color w:val="000000"/>
                <w:sz w:val="16"/>
                <w:szCs w:val="16"/>
              </w:rPr>
              <w:t>100</w:t>
            </w:r>
            <w:r w:rsidR="00C62C39">
              <w:rPr>
                <w:rFonts w:ascii="Verdana" w:eastAsia="Times New Roman" w:hAnsi="Verdana" w:cs="Times New Roman"/>
                <w:color w:val="000000"/>
                <w:sz w:val="16"/>
                <w:szCs w:val="16"/>
              </w:rPr>
              <w:t>,</w:t>
            </w:r>
            <w:r w:rsidR="00C62C39" w:rsidRPr="00B813BC">
              <w:rPr>
                <w:rFonts w:ascii="Verdana" w:eastAsia="Times New Roman" w:hAnsi="Verdana" w:cs="Times New Roman"/>
                <w:color w:val="000000"/>
                <w:sz w:val="16"/>
                <w:szCs w:val="16"/>
              </w:rPr>
              <w:t>000</w:t>
            </w:r>
            <w:r>
              <w:rPr>
                <w:rFonts w:ascii="Verdana" w:eastAsia="Times New Roman" w:hAnsi="Verdana" w:cs="Times New Roman"/>
                <w:color w:val="000000"/>
                <w:sz w:val="16"/>
                <w:szCs w:val="16"/>
              </w:rPr>
              <w:t>)</w:t>
            </w: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w:t>
            </w:r>
            <w:r w:rsidR="00C62C39">
              <w:rPr>
                <w:rFonts w:ascii="Verdana" w:eastAsia="Times New Roman" w:hAnsi="Verdana" w:cs="Times New Roman"/>
                <w:color w:val="000000"/>
                <w:sz w:val="16"/>
                <w:szCs w:val="16"/>
              </w:rPr>
              <w:t>166,</w:t>
            </w:r>
            <w:r w:rsidR="00C62C39" w:rsidRPr="00B813BC">
              <w:rPr>
                <w:rFonts w:ascii="Verdana" w:eastAsia="Times New Roman" w:hAnsi="Verdana" w:cs="Times New Roman"/>
                <w:color w:val="000000"/>
                <w:sz w:val="16"/>
                <w:szCs w:val="16"/>
              </w:rPr>
              <w:t>222</w:t>
            </w:r>
            <w:r>
              <w:rPr>
                <w:rFonts w:ascii="Verdana" w:eastAsia="Times New Roman" w:hAnsi="Verdana" w:cs="Times New Roman"/>
                <w:color w:val="000000"/>
                <w:sz w:val="16"/>
                <w:szCs w:val="16"/>
              </w:rPr>
              <w:t>)</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Other current liabilities</w:t>
            </w:r>
          </w:p>
        </w:tc>
        <w:tc>
          <w:tcPr>
            <w:tcW w:w="1102"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w:t>
            </w:r>
            <w:r w:rsidR="00C62C39">
              <w:rPr>
                <w:rFonts w:ascii="Verdana" w:eastAsia="Times New Roman" w:hAnsi="Verdana" w:cs="Times New Roman"/>
                <w:color w:val="000000"/>
                <w:sz w:val="16"/>
                <w:szCs w:val="16"/>
              </w:rPr>
              <w:t>1,</w:t>
            </w:r>
            <w:r w:rsidR="00C62C39" w:rsidRPr="00B813BC">
              <w:rPr>
                <w:rFonts w:ascii="Verdana" w:eastAsia="Times New Roman" w:hAnsi="Verdana" w:cs="Times New Roman"/>
                <w:color w:val="000000"/>
                <w:sz w:val="16"/>
                <w:szCs w:val="16"/>
              </w:rPr>
              <w:t>880</w:t>
            </w:r>
            <w:r>
              <w:rPr>
                <w:rFonts w:ascii="Verdana" w:eastAsia="Times New Roman" w:hAnsi="Verdana" w:cs="Times New Roman"/>
                <w:color w:val="000000"/>
                <w:sz w:val="16"/>
                <w:szCs w:val="16"/>
              </w:rPr>
              <w:t>)</w:t>
            </w:r>
          </w:p>
        </w:tc>
        <w:tc>
          <w:tcPr>
            <w:tcW w:w="1090"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w:t>
            </w:r>
            <w:r w:rsidR="00C62C39">
              <w:rPr>
                <w:rFonts w:ascii="Verdana" w:eastAsia="Times New Roman" w:hAnsi="Verdana" w:cs="Times New Roman"/>
                <w:color w:val="000000"/>
                <w:sz w:val="16"/>
                <w:szCs w:val="16"/>
              </w:rPr>
              <w:t>1,</w:t>
            </w:r>
            <w:r w:rsidR="00C62C39" w:rsidRPr="00B813BC">
              <w:rPr>
                <w:rFonts w:ascii="Verdana" w:eastAsia="Times New Roman" w:hAnsi="Verdana" w:cs="Times New Roman"/>
                <w:color w:val="000000"/>
                <w:sz w:val="16"/>
                <w:szCs w:val="16"/>
              </w:rPr>
              <w:t>880</w:t>
            </w:r>
            <w:r>
              <w:rPr>
                <w:rFonts w:ascii="Verdana" w:eastAsia="Times New Roman" w:hAnsi="Verdana" w:cs="Times New Roman"/>
                <w:color w:val="000000"/>
                <w:sz w:val="16"/>
                <w:szCs w:val="16"/>
              </w:rPr>
              <w:t>)</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Current Liabilities</w:t>
            </w:r>
          </w:p>
        </w:tc>
        <w:tc>
          <w:tcPr>
            <w:tcW w:w="1102"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4" w:type="dxa"/>
            <w:tcBorders>
              <w:top w:val="single" w:sz="4" w:space="0" w:color="auto"/>
              <w:left w:val="nil"/>
              <w:bottom w:val="single" w:sz="4" w:space="0" w:color="auto"/>
              <w:right w:val="nil"/>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w:t>
            </w:r>
            <w:r w:rsidR="00C62C39">
              <w:rPr>
                <w:rFonts w:ascii="Verdana" w:eastAsia="Times New Roman" w:hAnsi="Verdana" w:cs="Times New Roman"/>
                <w:b/>
                <w:bCs/>
                <w:color w:val="000000"/>
                <w:sz w:val="16"/>
                <w:szCs w:val="16"/>
              </w:rPr>
              <w:t>72,</w:t>
            </w:r>
            <w:r w:rsidR="00C62C39" w:rsidRPr="00B813BC">
              <w:rPr>
                <w:rFonts w:ascii="Verdana" w:eastAsia="Times New Roman" w:hAnsi="Verdana" w:cs="Times New Roman"/>
                <w:b/>
                <w:bCs/>
                <w:color w:val="000000"/>
                <w:sz w:val="16"/>
                <w:szCs w:val="16"/>
              </w:rPr>
              <w:t>102</w:t>
            </w:r>
            <w:r>
              <w:rPr>
                <w:rFonts w:ascii="Verdana" w:eastAsia="Times New Roman" w:hAnsi="Verdana" w:cs="Times New Roman"/>
                <w:b/>
                <w:bCs/>
                <w:color w:val="000000"/>
                <w:sz w:val="16"/>
                <w:szCs w:val="16"/>
              </w:rPr>
              <w:t>)</w:t>
            </w:r>
          </w:p>
        </w:tc>
        <w:tc>
          <w:tcPr>
            <w:tcW w:w="1090"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4,</w:t>
            </w:r>
            <w:r w:rsidRPr="00B813BC">
              <w:rPr>
                <w:rFonts w:ascii="Verdana" w:eastAsia="Times New Roman" w:hAnsi="Verdana" w:cs="Times New Roman"/>
                <w:b/>
                <w:bCs/>
                <w:color w:val="000000"/>
                <w:sz w:val="16"/>
                <w:szCs w:val="16"/>
              </w:rPr>
              <w:t>000</w:t>
            </w:r>
          </w:p>
        </w:tc>
        <w:tc>
          <w:tcPr>
            <w:tcW w:w="1108" w:type="dxa"/>
            <w:tcBorders>
              <w:top w:val="single" w:sz="4" w:space="0" w:color="auto"/>
              <w:left w:val="nil"/>
              <w:bottom w:val="single" w:sz="4"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225" w:type="dxa"/>
            <w:tcBorders>
              <w:top w:val="single" w:sz="4" w:space="0" w:color="auto"/>
              <w:left w:val="nil"/>
              <w:bottom w:val="single" w:sz="4" w:space="0" w:color="auto"/>
              <w:right w:val="nil"/>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w:t>
            </w:r>
            <w:r w:rsidR="00C62C39" w:rsidRPr="00B813BC">
              <w:rPr>
                <w:rFonts w:ascii="Verdana" w:eastAsia="Times New Roman" w:hAnsi="Verdana" w:cs="Times New Roman"/>
                <w:b/>
                <w:bCs/>
                <w:color w:val="000000"/>
                <w:sz w:val="16"/>
                <w:szCs w:val="16"/>
              </w:rPr>
              <w:t>100</w:t>
            </w:r>
            <w:r w:rsidR="00C62C39">
              <w:rPr>
                <w:rFonts w:ascii="Verdana" w:eastAsia="Times New Roman" w:hAnsi="Verdana" w:cs="Times New Roman"/>
                <w:b/>
                <w:bCs/>
                <w:color w:val="000000"/>
                <w:sz w:val="16"/>
                <w:szCs w:val="16"/>
              </w:rPr>
              <w:t>,</w:t>
            </w:r>
            <w:r w:rsidR="00C62C39" w:rsidRPr="00B813BC">
              <w:rPr>
                <w:rFonts w:ascii="Verdana" w:eastAsia="Times New Roman" w:hAnsi="Verdana" w:cs="Times New Roman"/>
                <w:b/>
                <w:bCs/>
                <w:color w:val="000000"/>
                <w:sz w:val="16"/>
                <w:szCs w:val="16"/>
              </w:rPr>
              <w:t>000</w:t>
            </w:r>
            <w:r>
              <w:rPr>
                <w:rFonts w:ascii="Verdana" w:eastAsia="Times New Roman" w:hAnsi="Verdana" w:cs="Times New Roman"/>
                <w:b/>
                <w:bCs/>
                <w:color w:val="000000"/>
                <w:sz w:val="16"/>
                <w:szCs w:val="16"/>
              </w:rPr>
              <w:t>)</w:t>
            </w:r>
          </w:p>
        </w:tc>
        <w:tc>
          <w:tcPr>
            <w:tcW w:w="11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C62C39" w:rsidRPr="00B813BC" w:rsidRDefault="00134FC2"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w:t>
            </w:r>
            <w:r w:rsidR="00C62C39" w:rsidRPr="00B813BC">
              <w:rPr>
                <w:rFonts w:ascii="Verdana" w:eastAsia="Times New Roman" w:hAnsi="Verdana" w:cs="Times New Roman"/>
                <w:b/>
                <w:bCs/>
                <w:color w:val="000000"/>
                <w:sz w:val="16"/>
                <w:szCs w:val="16"/>
              </w:rPr>
              <w:t>168</w:t>
            </w:r>
            <w:r w:rsidR="00C62C39">
              <w:rPr>
                <w:rFonts w:ascii="Verdana" w:eastAsia="Times New Roman" w:hAnsi="Verdana" w:cs="Times New Roman"/>
                <w:b/>
                <w:bCs/>
                <w:color w:val="000000"/>
                <w:sz w:val="16"/>
                <w:szCs w:val="16"/>
              </w:rPr>
              <w:t>,</w:t>
            </w:r>
            <w:r w:rsidR="00C62C39" w:rsidRPr="00B813BC">
              <w:rPr>
                <w:rFonts w:ascii="Verdana" w:eastAsia="Times New Roman" w:hAnsi="Verdana" w:cs="Times New Roman"/>
                <w:b/>
                <w:bCs/>
                <w:color w:val="000000"/>
                <w:sz w:val="16"/>
                <w:szCs w:val="16"/>
              </w:rPr>
              <w:t>102</w:t>
            </w:r>
            <w:r>
              <w:rPr>
                <w:rFonts w:ascii="Verdana" w:eastAsia="Times New Roman" w:hAnsi="Verdana" w:cs="Times New Roman"/>
                <w:b/>
                <w:bCs/>
                <w:color w:val="000000"/>
                <w:sz w:val="16"/>
                <w:szCs w:val="16"/>
              </w:rPr>
              <w:t>)</w:t>
            </w:r>
          </w:p>
        </w:tc>
      </w:tr>
      <w:tr w:rsidR="00C62C39" w:rsidRPr="00B813BC" w:rsidTr="004E41E9">
        <w:trPr>
          <w:trHeight w:val="300"/>
        </w:trPr>
        <w:tc>
          <w:tcPr>
            <w:tcW w:w="2399" w:type="dxa"/>
            <w:tcBorders>
              <w:top w:val="nil"/>
              <w:left w:val="single" w:sz="8" w:space="0" w:color="auto"/>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c>
          <w:tcPr>
            <w:tcW w:w="1102"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64"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090"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08"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225" w:type="dxa"/>
            <w:tcBorders>
              <w:top w:val="nil"/>
              <w:left w:val="nil"/>
              <w:bottom w:val="nil"/>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p>
        </w:tc>
        <w:tc>
          <w:tcPr>
            <w:tcW w:w="1165" w:type="dxa"/>
            <w:tcBorders>
              <w:top w:val="nil"/>
              <w:left w:val="single" w:sz="4" w:space="0" w:color="auto"/>
              <w:bottom w:val="nil"/>
              <w:right w:val="single" w:sz="8" w:space="0" w:color="auto"/>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color w:val="000000"/>
                <w:sz w:val="16"/>
                <w:szCs w:val="16"/>
              </w:rPr>
            </w:pPr>
            <w:r w:rsidRPr="00B813BC">
              <w:rPr>
                <w:rFonts w:ascii="Verdana" w:eastAsia="Times New Roman" w:hAnsi="Verdana" w:cs="Times New Roman"/>
                <w:color w:val="000000"/>
                <w:sz w:val="16"/>
                <w:szCs w:val="16"/>
              </w:rPr>
              <w:t> </w:t>
            </w:r>
          </w:p>
        </w:tc>
      </w:tr>
      <w:tr w:rsidR="00C62C39" w:rsidRPr="00B813BC" w:rsidTr="004E41E9">
        <w:trPr>
          <w:trHeight w:val="315"/>
        </w:trPr>
        <w:tc>
          <w:tcPr>
            <w:tcW w:w="2399" w:type="dxa"/>
            <w:tcBorders>
              <w:top w:val="nil"/>
              <w:left w:val="single" w:sz="8" w:space="0" w:color="auto"/>
              <w:bottom w:val="single" w:sz="8" w:space="0" w:color="auto"/>
              <w:right w:val="nil"/>
            </w:tcBorders>
            <w:shd w:val="clear" w:color="auto" w:fill="auto"/>
            <w:noWrap/>
            <w:vAlign w:val="bottom"/>
          </w:tcPr>
          <w:p w:rsidR="00C62C39" w:rsidRPr="00B813BC" w:rsidRDefault="00C62C39" w:rsidP="00C62C39">
            <w:pPr>
              <w:spacing w:after="0" w:line="240" w:lineRule="auto"/>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Total equity and liabilities</w:t>
            </w:r>
          </w:p>
        </w:tc>
        <w:tc>
          <w:tcPr>
            <w:tcW w:w="1102" w:type="dxa"/>
            <w:tcBorders>
              <w:top w:val="single" w:sz="4" w:space="0" w:color="auto"/>
              <w:left w:val="nil"/>
              <w:bottom w:val="single" w:sz="8"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4" w:type="dxa"/>
            <w:tcBorders>
              <w:top w:val="single" w:sz="4" w:space="0" w:color="auto"/>
              <w:left w:val="nil"/>
              <w:bottom w:val="single" w:sz="8"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090" w:type="dxa"/>
            <w:tcBorders>
              <w:top w:val="single" w:sz="4" w:space="0" w:color="auto"/>
              <w:left w:val="nil"/>
              <w:bottom w:val="single" w:sz="8"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4,</w:t>
            </w:r>
            <w:r w:rsidRPr="00B813BC">
              <w:rPr>
                <w:rFonts w:ascii="Verdana" w:eastAsia="Times New Roman" w:hAnsi="Verdana" w:cs="Times New Roman"/>
                <w:b/>
                <w:bCs/>
                <w:color w:val="000000"/>
                <w:sz w:val="16"/>
                <w:szCs w:val="16"/>
              </w:rPr>
              <w:t>000</w:t>
            </w:r>
          </w:p>
        </w:tc>
        <w:tc>
          <w:tcPr>
            <w:tcW w:w="1108" w:type="dxa"/>
            <w:tcBorders>
              <w:top w:val="single" w:sz="4" w:space="0" w:color="auto"/>
              <w:left w:val="nil"/>
              <w:bottom w:val="single" w:sz="8"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2,</w:t>
            </w:r>
            <w:r w:rsidRPr="00B813BC">
              <w:rPr>
                <w:rFonts w:ascii="Verdana" w:eastAsia="Times New Roman" w:hAnsi="Verdana" w:cs="Times New Roman"/>
                <w:b/>
                <w:bCs/>
                <w:color w:val="000000"/>
                <w:sz w:val="16"/>
                <w:szCs w:val="16"/>
              </w:rPr>
              <w:t>000</w:t>
            </w:r>
          </w:p>
        </w:tc>
        <w:tc>
          <w:tcPr>
            <w:tcW w:w="1225" w:type="dxa"/>
            <w:tcBorders>
              <w:top w:val="single" w:sz="4" w:space="0" w:color="auto"/>
              <w:left w:val="nil"/>
              <w:bottom w:val="single" w:sz="8" w:space="0" w:color="auto"/>
              <w:right w:val="nil"/>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0</w:t>
            </w:r>
          </w:p>
        </w:tc>
        <w:tc>
          <w:tcPr>
            <w:tcW w:w="1165" w:type="dxa"/>
            <w:tcBorders>
              <w:top w:val="single" w:sz="4" w:space="0" w:color="auto"/>
              <w:left w:val="single" w:sz="4" w:space="0" w:color="auto"/>
              <w:bottom w:val="single" w:sz="8" w:space="0" w:color="auto"/>
              <w:right w:val="single" w:sz="8" w:space="0" w:color="auto"/>
            </w:tcBorders>
            <w:shd w:val="clear" w:color="auto" w:fill="auto"/>
            <w:noWrap/>
            <w:vAlign w:val="bottom"/>
          </w:tcPr>
          <w:p w:rsidR="00C62C39" w:rsidRPr="00B813BC" w:rsidRDefault="00C62C39" w:rsidP="00C62C39">
            <w:pPr>
              <w:spacing w:after="0" w:line="240" w:lineRule="auto"/>
              <w:jc w:val="right"/>
              <w:rPr>
                <w:rFonts w:ascii="Verdana" w:eastAsia="Times New Roman" w:hAnsi="Verdana" w:cs="Times New Roman"/>
                <w:b/>
                <w:bCs/>
                <w:color w:val="000000"/>
                <w:sz w:val="16"/>
                <w:szCs w:val="16"/>
              </w:rPr>
            </w:pPr>
            <w:r w:rsidRPr="00B813BC">
              <w:rPr>
                <w:rFonts w:ascii="Verdana" w:eastAsia="Times New Roman" w:hAnsi="Verdana" w:cs="Times New Roman"/>
                <w:b/>
                <w:bCs/>
                <w:color w:val="000000"/>
                <w:sz w:val="16"/>
                <w:szCs w:val="16"/>
              </w:rPr>
              <w:t>6</w:t>
            </w:r>
            <w:r>
              <w:rPr>
                <w:rFonts w:ascii="Verdana" w:eastAsia="Times New Roman" w:hAnsi="Verdana" w:cs="Times New Roman"/>
                <w:b/>
                <w:bCs/>
                <w:color w:val="000000"/>
                <w:sz w:val="16"/>
                <w:szCs w:val="16"/>
              </w:rPr>
              <w:t>,</w:t>
            </w:r>
            <w:r w:rsidRPr="00B813BC">
              <w:rPr>
                <w:rFonts w:ascii="Verdana" w:eastAsia="Times New Roman" w:hAnsi="Verdana" w:cs="Times New Roman"/>
                <w:b/>
                <w:bCs/>
                <w:color w:val="000000"/>
                <w:sz w:val="16"/>
                <w:szCs w:val="16"/>
              </w:rPr>
              <w:t>000</w:t>
            </w:r>
          </w:p>
        </w:tc>
      </w:tr>
    </w:tbl>
    <w:p w:rsidR="00C62C39" w:rsidRDefault="00C62C39" w:rsidP="00C62C39">
      <w:pPr>
        <w:spacing w:after="0" w:line="240" w:lineRule="auto"/>
        <w:jc w:val="both"/>
        <w:rPr>
          <w:rFonts w:ascii="Verdana" w:hAnsi="Verdana" w:cs="Arial"/>
          <w:sz w:val="20"/>
          <w:szCs w:val="20"/>
          <w:lang w:val="en"/>
        </w:rPr>
      </w:pPr>
    </w:p>
    <w:p w:rsidR="00C62C39" w:rsidRPr="00C62C39" w:rsidRDefault="00C62C39" w:rsidP="00194468">
      <w:pPr>
        <w:pStyle w:val="BulletMain"/>
        <w:numPr>
          <w:ilvl w:val="0"/>
          <w:numId w:val="0"/>
        </w:numPr>
        <w:tabs>
          <w:tab w:val="left" w:pos="360"/>
        </w:tabs>
        <w:spacing w:line="240" w:lineRule="auto"/>
        <w:ind w:left="360" w:right="-1"/>
        <w:rPr>
          <w:i/>
          <w:sz w:val="20"/>
          <w:szCs w:val="20"/>
          <w:lang w:val="en-US"/>
        </w:rPr>
      </w:pPr>
      <w:r w:rsidRPr="00C62C39">
        <w:rPr>
          <w:i/>
          <w:sz w:val="20"/>
          <w:szCs w:val="20"/>
          <w:lang w:val="en-US"/>
        </w:rPr>
        <w:t>Note 1 Capital reduction</w:t>
      </w:r>
    </w:p>
    <w:p w:rsidR="00C62C39" w:rsidRPr="00C62C39" w:rsidRDefault="00C62C39" w:rsidP="00194468">
      <w:pPr>
        <w:pStyle w:val="BulletMain"/>
        <w:numPr>
          <w:ilvl w:val="0"/>
          <w:numId w:val="0"/>
        </w:numPr>
        <w:tabs>
          <w:tab w:val="left" w:pos="360"/>
        </w:tabs>
        <w:spacing w:line="240" w:lineRule="auto"/>
        <w:ind w:left="360" w:right="-1"/>
        <w:rPr>
          <w:sz w:val="20"/>
          <w:szCs w:val="20"/>
          <w:lang w:val="en-US"/>
        </w:rPr>
      </w:pPr>
      <w:r w:rsidRPr="00C62C39">
        <w:rPr>
          <w:sz w:val="20"/>
          <w:szCs w:val="20"/>
          <w:lang w:val="en-US"/>
        </w:rPr>
        <w:t xml:space="preserve">The capital reduction approved at the extraordinary general meeting on </w:t>
      </w:r>
      <w:r w:rsidR="00755BDE">
        <w:rPr>
          <w:sz w:val="20"/>
          <w:szCs w:val="20"/>
          <w:lang w:val="en-US"/>
        </w:rPr>
        <w:t xml:space="preserve">17 December </w:t>
      </w:r>
      <w:r w:rsidRPr="00C62C39">
        <w:rPr>
          <w:sz w:val="20"/>
          <w:szCs w:val="20"/>
          <w:lang w:val="en-US"/>
        </w:rPr>
        <w:t xml:space="preserve">2013 was part of the completion of the </w:t>
      </w:r>
      <w:r w:rsidR="00755BDE">
        <w:rPr>
          <w:sz w:val="20"/>
          <w:szCs w:val="20"/>
          <w:lang w:val="en-US"/>
        </w:rPr>
        <w:t>r</w:t>
      </w:r>
      <w:r w:rsidRPr="00C62C39">
        <w:rPr>
          <w:sz w:val="20"/>
          <w:szCs w:val="20"/>
          <w:lang w:val="en-US"/>
        </w:rPr>
        <w:t xml:space="preserve">estructuring by decreasing </w:t>
      </w:r>
      <w:r w:rsidR="00755BDE">
        <w:rPr>
          <w:sz w:val="20"/>
          <w:szCs w:val="20"/>
          <w:lang w:val="en-US"/>
        </w:rPr>
        <w:t>the nominal value of the sh</w:t>
      </w:r>
      <w:r w:rsidRPr="00C62C39">
        <w:rPr>
          <w:sz w:val="20"/>
          <w:szCs w:val="20"/>
          <w:lang w:val="en-US"/>
        </w:rPr>
        <w:t>ares from DKK 1 to DKK 0.1. The share capital was reduced by USD 6.0 million which was transferred to retained earnings to cover losses.</w:t>
      </w:r>
    </w:p>
    <w:p w:rsidR="00C62C39" w:rsidRPr="00C62C39" w:rsidRDefault="00C62C39" w:rsidP="00194468">
      <w:pPr>
        <w:pStyle w:val="BulletMain"/>
        <w:numPr>
          <w:ilvl w:val="0"/>
          <w:numId w:val="0"/>
        </w:numPr>
        <w:tabs>
          <w:tab w:val="left" w:pos="360"/>
        </w:tabs>
        <w:spacing w:line="240" w:lineRule="auto"/>
        <w:ind w:left="360" w:right="-1"/>
        <w:rPr>
          <w:i/>
          <w:sz w:val="20"/>
          <w:szCs w:val="20"/>
          <w:lang w:val="en-US"/>
        </w:rPr>
      </w:pPr>
      <w:r w:rsidRPr="00C62C39">
        <w:rPr>
          <w:i/>
          <w:sz w:val="20"/>
          <w:szCs w:val="20"/>
          <w:lang w:val="en-US"/>
        </w:rPr>
        <w:t>Note 2 Conversion of debt and swap</w:t>
      </w:r>
    </w:p>
    <w:p w:rsidR="00C62C39" w:rsidRPr="00C62C39" w:rsidRDefault="00C62C39" w:rsidP="00194468">
      <w:pPr>
        <w:pStyle w:val="BulletMain"/>
        <w:numPr>
          <w:ilvl w:val="0"/>
          <w:numId w:val="0"/>
        </w:numPr>
        <w:tabs>
          <w:tab w:val="left" w:pos="360"/>
        </w:tabs>
        <w:spacing w:line="240" w:lineRule="auto"/>
        <w:ind w:left="360" w:right="-1"/>
        <w:rPr>
          <w:bCs/>
          <w:sz w:val="20"/>
          <w:szCs w:val="20"/>
          <w:lang w:val="en-US"/>
        </w:rPr>
      </w:pPr>
      <w:r w:rsidRPr="00C62C39">
        <w:rPr>
          <w:sz w:val="20"/>
          <w:szCs w:val="20"/>
          <w:lang w:val="en-US"/>
        </w:rPr>
        <w:t>The convers</w:t>
      </w:r>
      <w:r w:rsidR="001811F8">
        <w:rPr>
          <w:sz w:val="20"/>
          <w:szCs w:val="20"/>
          <w:lang w:val="en-US"/>
        </w:rPr>
        <w:t>ion by Nordic Maritime and the lending b</w:t>
      </w:r>
      <w:r w:rsidRPr="00C62C39">
        <w:rPr>
          <w:sz w:val="20"/>
          <w:szCs w:val="20"/>
          <w:lang w:val="en-US"/>
        </w:rPr>
        <w:t>anks of USD 70.2 million of debt to equity was part of comple</w:t>
      </w:r>
      <w:r w:rsidR="00161B21">
        <w:rPr>
          <w:sz w:val="20"/>
          <w:szCs w:val="20"/>
          <w:lang w:val="en-US"/>
        </w:rPr>
        <w:t>tion of the r</w:t>
      </w:r>
      <w:r w:rsidRPr="00C62C39">
        <w:rPr>
          <w:sz w:val="20"/>
          <w:szCs w:val="20"/>
          <w:lang w:val="en-US"/>
        </w:rPr>
        <w:t xml:space="preserve">estructuring. </w:t>
      </w:r>
    </w:p>
    <w:p w:rsidR="00C62C39" w:rsidRDefault="00C62C39" w:rsidP="00194468">
      <w:pPr>
        <w:pStyle w:val="BulletMain"/>
        <w:numPr>
          <w:ilvl w:val="0"/>
          <w:numId w:val="0"/>
        </w:numPr>
        <w:tabs>
          <w:tab w:val="left" w:pos="360"/>
        </w:tabs>
        <w:spacing w:line="240" w:lineRule="auto"/>
        <w:ind w:left="360" w:right="-1"/>
        <w:rPr>
          <w:sz w:val="20"/>
          <w:szCs w:val="20"/>
          <w:lang w:val="en-US"/>
        </w:rPr>
      </w:pPr>
      <w:r w:rsidRPr="00C62C39">
        <w:rPr>
          <w:sz w:val="20"/>
          <w:szCs w:val="20"/>
          <w:lang w:val="en-US"/>
        </w:rPr>
        <w:t>Further, an interest rate swap</w:t>
      </w:r>
      <w:r w:rsidR="00F31F11">
        <w:rPr>
          <w:sz w:val="20"/>
          <w:szCs w:val="20"/>
          <w:lang w:val="en-US"/>
        </w:rPr>
        <w:t xml:space="preserve"> with a market value of USD 1.9</w:t>
      </w:r>
      <w:r w:rsidRPr="00C62C39">
        <w:rPr>
          <w:sz w:val="20"/>
          <w:szCs w:val="20"/>
          <w:lang w:val="en-US"/>
        </w:rPr>
        <w:t xml:space="preserve"> million was converted as part of the total debt conversion. The hedg</w:t>
      </w:r>
      <w:r w:rsidR="00F31F11">
        <w:rPr>
          <w:sz w:val="20"/>
          <w:szCs w:val="20"/>
          <w:lang w:val="en-US"/>
        </w:rPr>
        <w:t>ing</w:t>
      </w:r>
      <w:r w:rsidR="002207D5">
        <w:rPr>
          <w:sz w:val="20"/>
          <w:szCs w:val="20"/>
          <w:lang w:val="en-US"/>
        </w:rPr>
        <w:t xml:space="preserve"> reserve</w:t>
      </w:r>
      <w:r w:rsidR="00F31F11">
        <w:rPr>
          <w:sz w:val="20"/>
          <w:szCs w:val="20"/>
          <w:lang w:val="en-US"/>
        </w:rPr>
        <w:t xml:space="preserve"> of USD 1.</w:t>
      </w:r>
      <w:r w:rsidR="00C03F55">
        <w:rPr>
          <w:sz w:val="20"/>
          <w:szCs w:val="20"/>
          <w:lang w:val="en-US"/>
        </w:rPr>
        <w:t>5</w:t>
      </w:r>
      <w:r w:rsidRPr="00C62C39">
        <w:rPr>
          <w:sz w:val="20"/>
          <w:szCs w:val="20"/>
          <w:lang w:val="en-US"/>
        </w:rPr>
        <w:t xml:space="preserve"> million was recycled to profit and los</w:t>
      </w:r>
      <w:r w:rsidR="00F31F11">
        <w:rPr>
          <w:sz w:val="20"/>
          <w:szCs w:val="20"/>
          <w:lang w:val="en-US"/>
        </w:rPr>
        <w:t>s resulting in a</w:t>
      </w:r>
      <w:r w:rsidR="002207D5">
        <w:rPr>
          <w:sz w:val="20"/>
          <w:szCs w:val="20"/>
          <w:lang w:val="en-US"/>
        </w:rPr>
        <w:t xml:space="preserve"> net</w:t>
      </w:r>
      <w:r w:rsidR="00F31F11">
        <w:rPr>
          <w:sz w:val="20"/>
          <w:szCs w:val="20"/>
          <w:lang w:val="en-US"/>
        </w:rPr>
        <w:t xml:space="preserve"> gain of USD 0.</w:t>
      </w:r>
      <w:r w:rsidR="00C03F55">
        <w:rPr>
          <w:sz w:val="20"/>
          <w:szCs w:val="20"/>
          <w:lang w:val="en-US"/>
        </w:rPr>
        <w:t>4</w:t>
      </w:r>
      <w:r w:rsidRPr="00C62C39">
        <w:rPr>
          <w:sz w:val="20"/>
          <w:szCs w:val="20"/>
          <w:lang w:val="en-US"/>
        </w:rPr>
        <w:t xml:space="preserve"> million. </w:t>
      </w:r>
    </w:p>
    <w:p w:rsidR="001F4E7B" w:rsidRDefault="001F4E7B" w:rsidP="00C62C39">
      <w:pPr>
        <w:pStyle w:val="BulletMain"/>
        <w:numPr>
          <w:ilvl w:val="0"/>
          <w:numId w:val="0"/>
        </w:numPr>
        <w:spacing w:line="240" w:lineRule="auto"/>
        <w:ind w:right="-1"/>
        <w:rPr>
          <w:sz w:val="20"/>
          <w:szCs w:val="20"/>
          <w:lang w:val="en-US"/>
        </w:rPr>
      </w:pPr>
    </w:p>
    <w:p w:rsidR="001F4E7B" w:rsidRDefault="001F4E7B" w:rsidP="00C62C39">
      <w:pPr>
        <w:pStyle w:val="BulletMain"/>
        <w:numPr>
          <w:ilvl w:val="0"/>
          <w:numId w:val="0"/>
        </w:numPr>
        <w:spacing w:line="240" w:lineRule="auto"/>
        <w:ind w:right="-1"/>
        <w:rPr>
          <w:sz w:val="20"/>
          <w:szCs w:val="20"/>
          <w:lang w:val="en-US"/>
        </w:rPr>
      </w:pPr>
    </w:p>
    <w:p w:rsidR="00261052" w:rsidRDefault="00261052" w:rsidP="00C62C39">
      <w:pPr>
        <w:pStyle w:val="BulletMain"/>
        <w:numPr>
          <w:ilvl w:val="0"/>
          <w:numId w:val="0"/>
        </w:numPr>
        <w:spacing w:line="240" w:lineRule="auto"/>
        <w:ind w:right="-1"/>
        <w:rPr>
          <w:sz w:val="20"/>
          <w:szCs w:val="20"/>
          <w:lang w:val="en-US"/>
        </w:rPr>
      </w:pPr>
    </w:p>
    <w:p w:rsidR="00C62C39" w:rsidRPr="00C62C39" w:rsidRDefault="00C62C39" w:rsidP="00194468">
      <w:pPr>
        <w:pStyle w:val="BulletMain"/>
        <w:numPr>
          <w:ilvl w:val="0"/>
          <w:numId w:val="0"/>
        </w:numPr>
        <w:spacing w:line="240" w:lineRule="auto"/>
        <w:ind w:left="360" w:right="-1"/>
        <w:rPr>
          <w:bCs/>
          <w:sz w:val="20"/>
          <w:szCs w:val="20"/>
          <w:lang w:val="en-US"/>
        </w:rPr>
      </w:pPr>
      <w:r w:rsidRPr="00C62C39">
        <w:rPr>
          <w:sz w:val="20"/>
          <w:szCs w:val="20"/>
          <w:lang w:val="en-US"/>
        </w:rPr>
        <w:lastRenderedPageBreak/>
        <w:t xml:space="preserve">Nordic Shipholding issued 350,520,274 shares at a nominal value of DKK 0.1 corresponding to 90% of the outstanding </w:t>
      </w:r>
      <w:r w:rsidR="00F31F11">
        <w:rPr>
          <w:sz w:val="20"/>
          <w:szCs w:val="20"/>
          <w:lang w:val="en-US"/>
        </w:rPr>
        <w:t>s</w:t>
      </w:r>
      <w:r w:rsidRPr="00C62C39">
        <w:rPr>
          <w:sz w:val="20"/>
          <w:szCs w:val="20"/>
          <w:lang w:val="en-US"/>
        </w:rPr>
        <w:t xml:space="preserve">hares after completion of the capital increase and an increase in the nominal share capital of USD 6.5 million. The </w:t>
      </w:r>
      <w:r w:rsidRPr="00C62C39">
        <w:rPr>
          <w:bCs/>
          <w:sz w:val="20"/>
          <w:szCs w:val="20"/>
          <w:lang w:val="en-US"/>
        </w:rPr>
        <w:t>difference between the carrying amount of the debt prior to conversion and the fair value of the equity instruments issued was recognised as a gain of USD 28</w:t>
      </w:r>
      <w:r w:rsidR="00F31F11">
        <w:rPr>
          <w:bCs/>
          <w:sz w:val="20"/>
          <w:szCs w:val="20"/>
          <w:lang w:val="en-US"/>
        </w:rPr>
        <w:t>.6</w:t>
      </w:r>
      <w:r w:rsidRPr="00C62C39">
        <w:rPr>
          <w:bCs/>
          <w:sz w:val="20"/>
          <w:szCs w:val="20"/>
          <w:lang w:val="en-US"/>
        </w:rPr>
        <w:t xml:space="preserve"> million in the income statement.</w:t>
      </w:r>
    </w:p>
    <w:p w:rsidR="00C62C39" w:rsidRPr="00C62C39" w:rsidRDefault="00C62C39" w:rsidP="00194468">
      <w:pPr>
        <w:pStyle w:val="BulletMain"/>
        <w:numPr>
          <w:ilvl w:val="0"/>
          <w:numId w:val="0"/>
        </w:numPr>
        <w:spacing w:line="240" w:lineRule="auto"/>
        <w:ind w:left="360" w:right="-1"/>
        <w:rPr>
          <w:i/>
          <w:sz w:val="20"/>
          <w:szCs w:val="20"/>
          <w:lang w:val="en-US"/>
        </w:rPr>
      </w:pPr>
      <w:r w:rsidRPr="00C62C39">
        <w:rPr>
          <w:i/>
          <w:sz w:val="20"/>
          <w:szCs w:val="20"/>
          <w:lang w:val="en-US"/>
        </w:rPr>
        <w:t>Note 3 Draw down working capital line</w:t>
      </w:r>
    </w:p>
    <w:p w:rsidR="00C62C39" w:rsidRPr="00C62C39" w:rsidRDefault="00F31F11" w:rsidP="00194468">
      <w:pPr>
        <w:pStyle w:val="BulletMain"/>
        <w:numPr>
          <w:ilvl w:val="0"/>
          <w:numId w:val="0"/>
        </w:numPr>
        <w:spacing w:line="240" w:lineRule="auto"/>
        <w:ind w:left="360" w:right="-1"/>
        <w:rPr>
          <w:sz w:val="20"/>
          <w:szCs w:val="20"/>
          <w:lang w:val="en-US"/>
        </w:rPr>
      </w:pPr>
      <w:r>
        <w:rPr>
          <w:sz w:val="20"/>
          <w:szCs w:val="20"/>
          <w:lang w:val="en-US"/>
        </w:rPr>
        <w:t>The l</w:t>
      </w:r>
      <w:r w:rsidR="00C62C39" w:rsidRPr="00C62C39">
        <w:rPr>
          <w:sz w:val="20"/>
          <w:szCs w:val="20"/>
          <w:lang w:val="en-US"/>
        </w:rPr>
        <w:t>end</w:t>
      </w:r>
      <w:r w:rsidR="004141BB">
        <w:rPr>
          <w:sz w:val="20"/>
          <w:szCs w:val="20"/>
          <w:lang w:val="en-US"/>
        </w:rPr>
        <w:t>ing</w:t>
      </w:r>
      <w:r>
        <w:rPr>
          <w:sz w:val="20"/>
          <w:szCs w:val="20"/>
          <w:lang w:val="en-US"/>
        </w:rPr>
        <w:t xml:space="preserve"> b</w:t>
      </w:r>
      <w:r w:rsidR="00C62C39" w:rsidRPr="00C62C39">
        <w:rPr>
          <w:sz w:val="20"/>
          <w:szCs w:val="20"/>
          <w:lang w:val="en-US"/>
        </w:rPr>
        <w:t xml:space="preserve">anks have granted a Working Capital Line of USD 4.0 million as part of the </w:t>
      </w:r>
      <w:r>
        <w:rPr>
          <w:sz w:val="20"/>
          <w:szCs w:val="20"/>
          <w:lang w:val="en-US"/>
        </w:rPr>
        <w:t>r</w:t>
      </w:r>
      <w:r w:rsidR="00C62C39" w:rsidRPr="00C62C39">
        <w:rPr>
          <w:sz w:val="20"/>
          <w:szCs w:val="20"/>
          <w:lang w:val="en-US"/>
        </w:rPr>
        <w:t xml:space="preserve">estructuring. The Working Capital Facility was drawn in full on </w:t>
      </w:r>
      <w:r w:rsidR="00755BDE">
        <w:rPr>
          <w:sz w:val="20"/>
          <w:szCs w:val="20"/>
          <w:lang w:val="en-US"/>
        </w:rPr>
        <w:t xml:space="preserve">19 </w:t>
      </w:r>
      <w:r w:rsidR="00C62C39" w:rsidRPr="00C62C39">
        <w:rPr>
          <w:sz w:val="20"/>
          <w:szCs w:val="20"/>
          <w:lang w:val="en-US"/>
        </w:rPr>
        <w:t>December</w:t>
      </w:r>
      <w:r w:rsidR="00755BDE">
        <w:rPr>
          <w:sz w:val="20"/>
          <w:szCs w:val="20"/>
          <w:lang w:val="en-US"/>
        </w:rPr>
        <w:t xml:space="preserve"> </w:t>
      </w:r>
      <w:r w:rsidR="00C62C39" w:rsidRPr="00C62C39">
        <w:rPr>
          <w:sz w:val="20"/>
          <w:szCs w:val="20"/>
          <w:lang w:val="en-US"/>
        </w:rPr>
        <w:t>2013.</w:t>
      </w:r>
    </w:p>
    <w:p w:rsidR="00C62C39" w:rsidRPr="00C62C39" w:rsidRDefault="00C62C39" w:rsidP="00194468">
      <w:pPr>
        <w:pStyle w:val="BulletMain"/>
        <w:numPr>
          <w:ilvl w:val="0"/>
          <w:numId w:val="0"/>
        </w:numPr>
        <w:spacing w:line="240" w:lineRule="auto"/>
        <w:ind w:left="360" w:right="-1"/>
        <w:rPr>
          <w:i/>
          <w:sz w:val="20"/>
          <w:szCs w:val="20"/>
          <w:lang w:val="en-US"/>
        </w:rPr>
      </w:pPr>
      <w:r w:rsidRPr="00C62C39">
        <w:rPr>
          <w:i/>
          <w:sz w:val="20"/>
          <w:szCs w:val="20"/>
          <w:lang w:val="en-US"/>
        </w:rPr>
        <w:t xml:space="preserve">Note 4 Additional capital </w:t>
      </w:r>
    </w:p>
    <w:p w:rsidR="00C62C39" w:rsidRPr="00C62C39" w:rsidRDefault="00C62C39" w:rsidP="00194468">
      <w:pPr>
        <w:pStyle w:val="BulletMain"/>
        <w:numPr>
          <w:ilvl w:val="0"/>
          <w:numId w:val="0"/>
        </w:numPr>
        <w:spacing w:line="240" w:lineRule="auto"/>
        <w:ind w:left="360" w:right="-1"/>
        <w:rPr>
          <w:bCs/>
          <w:sz w:val="20"/>
          <w:szCs w:val="20"/>
          <w:lang w:val="en-US"/>
        </w:rPr>
      </w:pPr>
      <w:r w:rsidRPr="00C62C39">
        <w:rPr>
          <w:sz w:val="20"/>
          <w:szCs w:val="20"/>
          <w:lang w:val="en-US"/>
        </w:rPr>
        <w:t xml:space="preserve">Nordic Maritime had an option to subscribe for further </w:t>
      </w:r>
      <w:r w:rsidR="00F31F11">
        <w:rPr>
          <w:sz w:val="20"/>
          <w:szCs w:val="20"/>
          <w:lang w:val="en-US"/>
        </w:rPr>
        <w:t>s</w:t>
      </w:r>
      <w:r w:rsidRPr="00C62C39">
        <w:rPr>
          <w:sz w:val="20"/>
          <w:szCs w:val="20"/>
          <w:lang w:val="en-US"/>
        </w:rPr>
        <w:t xml:space="preserve">hares by contribution of an additional USD 2.0 million in liquid funds to the Company. The option was exercised resulting in issuance of 16,691,432 </w:t>
      </w:r>
      <w:r w:rsidR="00194468">
        <w:rPr>
          <w:sz w:val="20"/>
          <w:szCs w:val="20"/>
          <w:lang w:val="en-US"/>
        </w:rPr>
        <w:t>s</w:t>
      </w:r>
      <w:r w:rsidRPr="00C62C39">
        <w:rPr>
          <w:sz w:val="20"/>
          <w:szCs w:val="20"/>
          <w:lang w:val="en-US"/>
        </w:rPr>
        <w:t xml:space="preserve">hares at a nominal value of DKK 0.1 each thus increasing Nordic Maritime’s total shareholding to 76.03% of the total issued share capital and resulting in an increase of the nominal share capital of USD 0.3 million. </w:t>
      </w:r>
    </w:p>
    <w:p w:rsidR="00C62C39" w:rsidRPr="00C62C39" w:rsidRDefault="00C62C39" w:rsidP="00194468">
      <w:pPr>
        <w:pStyle w:val="BulletMain"/>
        <w:numPr>
          <w:ilvl w:val="0"/>
          <w:numId w:val="0"/>
        </w:numPr>
        <w:spacing w:line="240" w:lineRule="auto"/>
        <w:ind w:left="360" w:right="-1"/>
        <w:rPr>
          <w:i/>
          <w:sz w:val="20"/>
          <w:szCs w:val="20"/>
          <w:lang w:val="en-US"/>
        </w:rPr>
      </w:pPr>
      <w:r w:rsidRPr="00C62C39">
        <w:rPr>
          <w:i/>
          <w:sz w:val="20"/>
          <w:szCs w:val="20"/>
          <w:lang w:val="en-US"/>
        </w:rPr>
        <w:t>Note 5 New loan agreement</w:t>
      </w:r>
      <w:r w:rsidR="00AC6D4E">
        <w:rPr>
          <w:i/>
          <w:sz w:val="20"/>
          <w:szCs w:val="20"/>
          <w:lang w:val="en-US"/>
        </w:rPr>
        <w:t>s</w:t>
      </w:r>
      <w:r w:rsidRPr="00C62C39">
        <w:rPr>
          <w:i/>
          <w:sz w:val="20"/>
          <w:szCs w:val="20"/>
          <w:lang w:val="en-US"/>
        </w:rPr>
        <w:t xml:space="preserve"> </w:t>
      </w:r>
    </w:p>
    <w:p w:rsidR="00C62C39" w:rsidRPr="00C62C39" w:rsidRDefault="00F31F11" w:rsidP="00194468">
      <w:pPr>
        <w:ind w:left="360"/>
        <w:jc w:val="both"/>
        <w:rPr>
          <w:rFonts w:ascii="Verdana" w:hAnsi="Verdana" w:cstheme="minorHAnsi"/>
          <w:sz w:val="20"/>
          <w:szCs w:val="20"/>
        </w:rPr>
      </w:pPr>
      <w:r>
        <w:rPr>
          <w:rFonts w:ascii="Verdana" w:hAnsi="Verdana"/>
          <w:sz w:val="20"/>
          <w:szCs w:val="20"/>
        </w:rPr>
        <w:t>As part of the r</w:t>
      </w:r>
      <w:r w:rsidR="00C62C39" w:rsidRPr="00C62C39">
        <w:rPr>
          <w:rFonts w:ascii="Verdana" w:hAnsi="Verdana"/>
          <w:sz w:val="20"/>
          <w:szCs w:val="20"/>
        </w:rPr>
        <w:t>estructuring</w:t>
      </w:r>
      <w:r>
        <w:rPr>
          <w:rFonts w:ascii="Verdana" w:hAnsi="Verdana"/>
          <w:sz w:val="20"/>
          <w:szCs w:val="20"/>
        </w:rPr>
        <w:t>, the Company entered into the financing a</w:t>
      </w:r>
      <w:r w:rsidR="00C62C39" w:rsidRPr="00C62C39">
        <w:rPr>
          <w:rFonts w:ascii="Verdana" w:hAnsi="Verdana"/>
          <w:sz w:val="20"/>
          <w:szCs w:val="20"/>
        </w:rPr>
        <w:t xml:space="preserve">greements with the </w:t>
      </w:r>
      <w:r>
        <w:rPr>
          <w:rFonts w:ascii="Verdana" w:hAnsi="Verdana"/>
          <w:sz w:val="20"/>
          <w:szCs w:val="20"/>
        </w:rPr>
        <w:t>l</w:t>
      </w:r>
      <w:r w:rsidR="00C62C39" w:rsidRPr="00C62C39">
        <w:rPr>
          <w:rFonts w:ascii="Verdana" w:hAnsi="Verdana"/>
          <w:sz w:val="20"/>
          <w:szCs w:val="20"/>
        </w:rPr>
        <w:t>end</w:t>
      </w:r>
      <w:r w:rsidR="004141BB">
        <w:rPr>
          <w:rFonts w:ascii="Verdana" w:hAnsi="Verdana"/>
          <w:sz w:val="20"/>
          <w:szCs w:val="20"/>
        </w:rPr>
        <w:t>ing</w:t>
      </w:r>
      <w:r w:rsidR="00C62C39" w:rsidRPr="00C62C39">
        <w:rPr>
          <w:rFonts w:ascii="Verdana" w:hAnsi="Verdana"/>
          <w:sz w:val="20"/>
          <w:szCs w:val="20"/>
        </w:rPr>
        <w:t xml:space="preserve"> </w:t>
      </w:r>
      <w:r>
        <w:rPr>
          <w:rFonts w:ascii="Verdana" w:hAnsi="Verdana"/>
          <w:sz w:val="20"/>
          <w:szCs w:val="20"/>
        </w:rPr>
        <w:t>b</w:t>
      </w:r>
      <w:r w:rsidR="00C62C39" w:rsidRPr="00C62C39">
        <w:rPr>
          <w:rFonts w:ascii="Verdana" w:hAnsi="Verdana"/>
          <w:sz w:val="20"/>
          <w:szCs w:val="20"/>
        </w:rPr>
        <w:t>anks. No installments fall due in 2014 leading to a classification of the loan amount as “long term”.</w:t>
      </w:r>
    </w:p>
    <w:p w:rsidR="00C62C39" w:rsidRPr="0010523D" w:rsidRDefault="00C62C39" w:rsidP="00C62C39">
      <w:pPr>
        <w:jc w:val="both"/>
        <w:rPr>
          <w:rFonts w:ascii="Verdana" w:hAnsi="Verdana" w:cstheme="minorHAnsi"/>
          <w:sz w:val="20"/>
          <w:szCs w:val="20"/>
        </w:rPr>
      </w:pPr>
      <w:r w:rsidRPr="0010523D">
        <w:rPr>
          <w:rFonts w:ascii="Verdana" w:hAnsi="Verdana" w:cstheme="minorHAnsi"/>
          <w:sz w:val="20"/>
          <w:szCs w:val="20"/>
        </w:rPr>
        <w:t>As a result of the restructuring, the outstanding debt as at 19 December 2013 was reduced by USD 72.1 million and equity increased by USD 74.1</w:t>
      </w:r>
      <w:r>
        <w:rPr>
          <w:rFonts w:ascii="Verdana" w:hAnsi="Verdana" w:cstheme="minorHAnsi"/>
          <w:sz w:val="20"/>
          <w:szCs w:val="20"/>
        </w:rPr>
        <w:t xml:space="preserve"> million including the USD</w:t>
      </w:r>
      <w:r w:rsidR="00F31F11">
        <w:rPr>
          <w:rFonts w:ascii="Verdana" w:hAnsi="Verdana" w:cstheme="minorHAnsi"/>
          <w:sz w:val="20"/>
          <w:szCs w:val="20"/>
        </w:rPr>
        <w:t xml:space="preserve"> </w:t>
      </w:r>
      <w:r w:rsidRPr="0010523D">
        <w:rPr>
          <w:rFonts w:ascii="Verdana" w:hAnsi="Verdana" w:cstheme="minorHAnsi"/>
          <w:sz w:val="20"/>
          <w:szCs w:val="20"/>
        </w:rPr>
        <w:t>2</w:t>
      </w:r>
      <w:r w:rsidR="00F31F11">
        <w:rPr>
          <w:rFonts w:ascii="Verdana" w:hAnsi="Verdana" w:cstheme="minorHAnsi"/>
          <w:sz w:val="20"/>
          <w:szCs w:val="20"/>
        </w:rPr>
        <w:t>.0</w:t>
      </w:r>
      <w:r w:rsidRPr="0010523D">
        <w:rPr>
          <w:rFonts w:ascii="Verdana" w:hAnsi="Verdana" w:cstheme="minorHAnsi"/>
          <w:sz w:val="20"/>
          <w:szCs w:val="20"/>
        </w:rPr>
        <w:t xml:space="preserve"> million equity injected by Nordic Maritime.  The remaining loan of USD 100</w:t>
      </w:r>
      <w:r w:rsidR="001F4E7B">
        <w:rPr>
          <w:rFonts w:ascii="Verdana" w:hAnsi="Verdana" w:cstheme="minorHAnsi"/>
          <w:sz w:val="20"/>
          <w:szCs w:val="20"/>
        </w:rPr>
        <w:t>.</w:t>
      </w:r>
      <w:r w:rsidR="00F31F11">
        <w:rPr>
          <w:rFonts w:ascii="Verdana" w:hAnsi="Verdana" w:cstheme="minorHAnsi"/>
          <w:sz w:val="20"/>
          <w:szCs w:val="20"/>
        </w:rPr>
        <w:t>0</w:t>
      </w:r>
      <w:r w:rsidR="00512967">
        <w:rPr>
          <w:rFonts w:ascii="Verdana" w:hAnsi="Verdana" w:cstheme="minorHAnsi"/>
          <w:sz w:val="20"/>
          <w:szCs w:val="20"/>
        </w:rPr>
        <w:t xml:space="preserve"> million was re</w:t>
      </w:r>
      <w:r w:rsidRPr="0010523D">
        <w:rPr>
          <w:rFonts w:ascii="Verdana" w:hAnsi="Verdana" w:cstheme="minorHAnsi"/>
          <w:sz w:val="20"/>
          <w:szCs w:val="20"/>
        </w:rPr>
        <w:t>financed into a new 7-year facility</w:t>
      </w:r>
      <w:r>
        <w:rPr>
          <w:rFonts w:ascii="Verdana" w:hAnsi="Verdana" w:cstheme="minorHAnsi"/>
          <w:sz w:val="20"/>
          <w:szCs w:val="20"/>
        </w:rPr>
        <w:t xml:space="preserve"> with no principal amortisation in the first 12 months, subject to a cash sweep mechanism and new covenants (please see </w:t>
      </w:r>
      <w:r w:rsidR="00512967">
        <w:rPr>
          <w:rFonts w:ascii="Verdana" w:hAnsi="Verdana" w:cstheme="minorHAnsi"/>
          <w:sz w:val="20"/>
          <w:szCs w:val="20"/>
        </w:rPr>
        <w:t>N</w:t>
      </w:r>
      <w:r>
        <w:rPr>
          <w:rFonts w:ascii="Verdana" w:hAnsi="Verdana" w:cstheme="minorHAnsi"/>
          <w:sz w:val="20"/>
          <w:szCs w:val="20"/>
        </w:rPr>
        <w:t>ote 0</w:t>
      </w:r>
      <w:r w:rsidR="007C018A">
        <w:rPr>
          <w:rFonts w:ascii="Verdana" w:hAnsi="Verdana" w:cstheme="minorHAnsi"/>
          <w:sz w:val="20"/>
          <w:szCs w:val="20"/>
        </w:rPr>
        <w:t xml:space="preserve"> (page</w:t>
      </w:r>
      <w:r w:rsidR="004E38A9">
        <w:rPr>
          <w:rFonts w:ascii="Verdana" w:hAnsi="Verdana" w:cstheme="minorHAnsi"/>
          <w:sz w:val="20"/>
          <w:szCs w:val="20"/>
        </w:rPr>
        <w:t xml:space="preserve"> 35 to 3</w:t>
      </w:r>
      <w:r w:rsidR="00C613E1">
        <w:rPr>
          <w:rFonts w:ascii="Verdana" w:hAnsi="Verdana" w:cstheme="minorHAnsi"/>
          <w:sz w:val="20"/>
          <w:szCs w:val="20"/>
        </w:rPr>
        <w:t>7</w:t>
      </w:r>
      <w:r w:rsidR="00512967">
        <w:rPr>
          <w:rFonts w:ascii="Verdana" w:hAnsi="Verdana" w:cstheme="minorHAnsi"/>
          <w:sz w:val="20"/>
          <w:szCs w:val="20"/>
        </w:rPr>
        <w:t>)</w:t>
      </w:r>
      <w:r>
        <w:rPr>
          <w:rFonts w:ascii="Verdana" w:hAnsi="Verdana" w:cstheme="minorHAnsi"/>
          <w:sz w:val="20"/>
          <w:szCs w:val="20"/>
        </w:rPr>
        <w:t xml:space="preserve"> for more information on the credit facility)</w:t>
      </w:r>
      <w:r w:rsidRPr="0010523D">
        <w:rPr>
          <w:rFonts w:ascii="Verdana" w:hAnsi="Verdana" w:cstheme="minorHAnsi"/>
          <w:sz w:val="20"/>
          <w:szCs w:val="20"/>
        </w:rPr>
        <w:t>.  The le</w:t>
      </w:r>
      <w:r>
        <w:rPr>
          <w:rFonts w:ascii="Verdana" w:hAnsi="Verdana" w:cstheme="minorHAnsi"/>
          <w:sz w:val="20"/>
          <w:szCs w:val="20"/>
        </w:rPr>
        <w:t>nding banks also extended a USD</w:t>
      </w:r>
      <w:r w:rsidR="00F31F11">
        <w:rPr>
          <w:rFonts w:ascii="Verdana" w:hAnsi="Verdana" w:cstheme="minorHAnsi"/>
          <w:sz w:val="20"/>
          <w:szCs w:val="20"/>
        </w:rPr>
        <w:t xml:space="preserve"> </w:t>
      </w:r>
      <w:r w:rsidRPr="0010523D">
        <w:rPr>
          <w:rFonts w:ascii="Verdana" w:hAnsi="Verdana" w:cstheme="minorHAnsi"/>
          <w:sz w:val="20"/>
          <w:szCs w:val="20"/>
        </w:rPr>
        <w:t>4</w:t>
      </w:r>
      <w:r w:rsidR="00F31F11">
        <w:rPr>
          <w:rFonts w:ascii="Verdana" w:hAnsi="Verdana" w:cstheme="minorHAnsi"/>
          <w:sz w:val="20"/>
          <w:szCs w:val="20"/>
        </w:rPr>
        <w:t>.0</w:t>
      </w:r>
      <w:r w:rsidRPr="0010523D">
        <w:rPr>
          <w:rFonts w:ascii="Verdana" w:hAnsi="Verdana" w:cstheme="minorHAnsi"/>
          <w:sz w:val="20"/>
          <w:szCs w:val="20"/>
        </w:rPr>
        <w:t xml:space="preserve"> million short term working capital facility, which was fully drawn upon completion of the restructuring.</w:t>
      </w:r>
      <w:r>
        <w:rPr>
          <w:rFonts w:ascii="Verdana" w:hAnsi="Verdana" w:cstheme="minorHAnsi"/>
          <w:sz w:val="20"/>
          <w:szCs w:val="20"/>
        </w:rPr>
        <w:t xml:space="preserve">  This short-term facility carries the same interest margin as the long-term facility and is repayable within 364 days.</w:t>
      </w:r>
    </w:p>
    <w:p w:rsidR="00C62C39" w:rsidRDefault="00C62C39" w:rsidP="00C62C39">
      <w:pPr>
        <w:jc w:val="both"/>
        <w:rPr>
          <w:rFonts w:ascii="Verdana" w:hAnsi="Verdana" w:cs="Arial"/>
          <w:sz w:val="20"/>
          <w:szCs w:val="20"/>
          <w:lang w:val="en"/>
        </w:rPr>
      </w:pPr>
      <w:r w:rsidRPr="006F711F">
        <w:rPr>
          <w:rFonts w:ascii="Verdana" w:hAnsi="Verdana" w:cs="Arial"/>
          <w:sz w:val="20"/>
          <w:szCs w:val="20"/>
          <w:lang w:val="en"/>
        </w:rPr>
        <w:t xml:space="preserve">After the </w:t>
      </w:r>
      <w:r>
        <w:rPr>
          <w:rFonts w:ascii="Verdana" w:hAnsi="Verdana" w:cs="Arial"/>
          <w:sz w:val="20"/>
          <w:szCs w:val="20"/>
          <w:lang w:val="en"/>
        </w:rPr>
        <w:t>r</w:t>
      </w:r>
      <w:r w:rsidRPr="006F711F">
        <w:rPr>
          <w:rFonts w:ascii="Verdana" w:hAnsi="Verdana" w:cs="Arial"/>
          <w:sz w:val="20"/>
          <w:szCs w:val="20"/>
          <w:lang w:val="en"/>
        </w:rPr>
        <w:t xml:space="preserve">estructuring, the Company remains a tonnage provider in the product tanker segment and the objective is to grow the current fleet of six vessels. </w:t>
      </w:r>
      <w:r>
        <w:rPr>
          <w:rFonts w:ascii="Verdana" w:hAnsi="Verdana" w:cs="Arial"/>
          <w:sz w:val="20"/>
          <w:szCs w:val="20"/>
          <w:lang w:val="en"/>
        </w:rPr>
        <w:t xml:space="preserve"> </w:t>
      </w:r>
      <w:r w:rsidRPr="006F711F">
        <w:rPr>
          <w:rFonts w:ascii="Verdana" w:hAnsi="Verdana" w:cs="Arial"/>
          <w:sz w:val="20"/>
          <w:szCs w:val="20"/>
          <w:lang w:val="en"/>
        </w:rPr>
        <w:t xml:space="preserve">The five 37,000 dwt </w:t>
      </w:r>
      <w:r w:rsidRPr="00522AD0">
        <w:rPr>
          <w:rFonts w:ascii="Verdana" w:hAnsi="Verdana" w:cs="Arial"/>
          <w:sz w:val="20"/>
          <w:szCs w:val="20"/>
          <w:lang w:val="en"/>
        </w:rPr>
        <w:t>handy</w:t>
      </w:r>
      <w:r w:rsidR="00CF12EA" w:rsidRPr="00522AD0">
        <w:rPr>
          <w:rFonts w:ascii="Verdana" w:hAnsi="Verdana" w:cs="Arial"/>
          <w:sz w:val="20"/>
          <w:szCs w:val="20"/>
          <w:lang w:val="en"/>
        </w:rPr>
        <w:t xml:space="preserve"> tankers</w:t>
      </w:r>
      <w:r w:rsidR="00522AD0">
        <w:rPr>
          <w:rFonts w:ascii="Verdana" w:hAnsi="Verdana" w:cs="Arial"/>
          <w:sz w:val="20"/>
          <w:szCs w:val="20"/>
          <w:lang w:val="en"/>
        </w:rPr>
        <w:t xml:space="preserve"> remain </w:t>
      </w:r>
      <w:r w:rsidRPr="006F711F">
        <w:rPr>
          <w:rFonts w:ascii="Verdana" w:hAnsi="Verdana" w:cs="Arial"/>
          <w:sz w:val="20"/>
          <w:szCs w:val="20"/>
          <w:lang w:val="en"/>
        </w:rPr>
        <w:t>commercial</w:t>
      </w:r>
      <w:r w:rsidR="00522AD0">
        <w:rPr>
          <w:rFonts w:ascii="Verdana" w:hAnsi="Verdana" w:cs="Arial"/>
          <w:sz w:val="20"/>
          <w:szCs w:val="20"/>
          <w:lang w:val="en"/>
        </w:rPr>
        <w:t>ly</w:t>
      </w:r>
      <w:r w:rsidRPr="006F711F">
        <w:rPr>
          <w:rFonts w:ascii="Verdana" w:hAnsi="Verdana" w:cs="Arial"/>
          <w:sz w:val="20"/>
          <w:szCs w:val="20"/>
          <w:lang w:val="en"/>
        </w:rPr>
        <w:t xml:space="preserve"> manage</w:t>
      </w:r>
      <w:r w:rsidR="00522AD0">
        <w:rPr>
          <w:rFonts w:ascii="Verdana" w:hAnsi="Verdana" w:cs="Arial"/>
          <w:sz w:val="20"/>
          <w:szCs w:val="20"/>
          <w:lang w:val="en"/>
        </w:rPr>
        <w:t>d</w:t>
      </w:r>
      <w:r w:rsidRPr="006F711F">
        <w:rPr>
          <w:rFonts w:ascii="Verdana" w:hAnsi="Verdana" w:cs="Arial"/>
          <w:sz w:val="20"/>
          <w:szCs w:val="20"/>
          <w:lang w:val="en"/>
        </w:rPr>
        <w:t xml:space="preserve"> </w:t>
      </w:r>
      <w:r w:rsidR="00522AD0">
        <w:rPr>
          <w:rFonts w:ascii="Verdana" w:hAnsi="Verdana" w:cs="Arial"/>
          <w:sz w:val="20"/>
          <w:szCs w:val="20"/>
          <w:lang w:val="en"/>
        </w:rPr>
        <w:t>by</w:t>
      </w:r>
      <w:r w:rsidRPr="006F711F">
        <w:rPr>
          <w:rFonts w:ascii="Verdana" w:hAnsi="Verdana" w:cs="Arial"/>
          <w:sz w:val="20"/>
          <w:szCs w:val="20"/>
          <w:lang w:val="en"/>
        </w:rPr>
        <w:t xml:space="preserve"> Maersk, where they partic</w:t>
      </w:r>
      <w:r>
        <w:rPr>
          <w:rFonts w:ascii="Verdana" w:hAnsi="Verdana" w:cs="Arial"/>
          <w:sz w:val="20"/>
          <w:szCs w:val="20"/>
          <w:lang w:val="en"/>
        </w:rPr>
        <w:t>ipate in the Handy</w:t>
      </w:r>
      <w:r w:rsidR="00CF12EA">
        <w:rPr>
          <w:rFonts w:ascii="Verdana" w:hAnsi="Verdana" w:cs="Arial"/>
          <w:sz w:val="20"/>
          <w:szCs w:val="20"/>
          <w:lang w:val="en"/>
        </w:rPr>
        <w:t>t</w:t>
      </w:r>
      <w:r>
        <w:rPr>
          <w:rFonts w:ascii="Verdana" w:hAnsi="Verdana" w:cs="Arial"/>
          <w:sz w:val="20"/>
          <w:szCs w:val="20"/>
          <w:lang w:val="en"/>
        </w:rPr>
        <w:t xml:space="preserve">ankers Pool.  </w:t>
      </w:r>
      <w:r w:rsidRPr="006F711F">
        <w:rPr>
          <w:rFonts w:ascii="Verdana" w:hAnsi="Verdana" w:cs="Arial"/>
          <w:sz w:val="20"/>
          <w:szCs w:val="20"/>
          <w:lang w:val="en"/>
        </w:rPr>
        <w:t>The 73,000 dwt LR1 Nordic Anne remain</w:t>
      </w:r>
      <w:r>
        <w:rPr>
          <w:rFonts w:ascii="Verdana" w:hAnsi="Verdana" w:cs="Arial"/>
          <w:sz w:val="20"/>
          <w:szCs w:val="20"/>
          <w:lang w:val="en"/>
        </w:rPr>
        <w:t>s</w:t>
      </w:r>
      <w:r w:rsidRPr="006F711F">
        <w:rPr>
          <w:rFonts w:ascii="Verdana" w:hAnsi="Verdana" w:cs="Arial"/>
          <w:sz w:val="20"/>
          <w:szCs w:val="20"/>
          <w:lang w:val="en"/>
        </w:rPr>
        <w:t xml:space="preserve"> </w:t>
      </w:r>
      <w:r w:rsidR="00522AD0">
        <w:rPr>
          <w:rFonts w:ascii="Verdana" w:hAnsi="Verdana" w:cs="Arial"/>
          <w:sz w:val="20"/>
          <w:szCs w:val="20"/>
          <w:lang w:val="en"/>
        </w:rPr>
        <w:t xml:space="preserve">under the joint </w:t>
      </w:r>
      <w:r w:rsidRPr="006F711F">
        <w:rPr>
          <w:rFonts w:ascii="Verdana" w:hAnsi="Verdana" w:cs="Arial"/>
          <w:sz w:val="20"/>
          <w:szCs w:val="20"/>
          <w:lang w:val="en"/>
        </w:rPr>
        <w:t>commercial manage</w:t>
      </w:r>
      <w:r w:rsidR="00522AD0">
        <w:rPr>
          <w:rFonts w:ascii="Verdana" w:hAnsi="Verdana" w:cs="Arial"/>
          <w:sz w:val="20"/>
          <w:szCs w:val="20"/>
          <w:lang w:val="en"/>
        </w:rPr>
        <w:t xml:space="preserve">ment of </w:t>
      </w:r>
      <w:r w:rsidRPr="006F711F">
        <w:rPr>
          <w:rFonts w:ascii="Verdana" w:hAnsi="Verdana" w:cs="Arial"/>
          <w:sz w:val="20"/>
          <w:szCs w:val="20"/>
          <w:lang w:val="en"/>
        </w:rPr>
        <w:t>Haf</w:t>
      </w:r>
      <w:r>
        <w:rPr>
          <w:rFonts w:ascii="Verdana" w:hAnsi="Verdana" w:cs="Arial"/>
          <w:sz w:val="20"/>
          <w:szCs w:val="20"/>
          <w:lang w:val="en"/>
        </w:rPr>
        <w:t>nia</w:t>
      </w:r>
      <w:r w:rsidR="00522AD0">
        <w:rPr>
          <w:rFonts w:ascii="Verdana" w:hAnsi="Verdana" w:cs="Arial"/>
          <w:sz w:val="20"/>
          <w:szCs w:val="20"/>
          <w:lang w:val="en"/>
        </w:rPr>
        <w:t xml:space="preserve"> and Mitsui OSK</w:t>
      </w:r>
      <w:r>
        <w:rPr>
          <w:rFonts w:ascii="Verdana" w:hAnsi="Verdana" w:cs="Arial"/>
          <w:sz w:val="20"/>
          <w:szCs w:val="20"/>
          <w:lang w:val="en"/>
        </w:rPr>
        <w:t xml:space="preserve"> in the Straits Tankers Pool.  The Company has also decided to change the </w:t>
      </w:r>
      <w:r w:rsidRPr="006F711F">
        <w:rPr>
          <w:rFonts w:ascii="Verdana" w:hAnsi="Verdana" w:cs="Arial"/>
          <w:sz w:val="20"/>
          <w:szCs w:val="20"/>
          <w:lang w:val="en"/>
        </w:rPr>
        <w:t>technical manage</w:t>
      </w:r>
      <w:r w:rsidR="00A40AC9">
        <w:rPr>
          <w:rFonts w:ascii="Verdana" w:hAnsi="Verdana" w:cs="Arial"/>
          <w:sz w:val="20"/>
          <w:szCs w:val="20"/>
          <w:lang w:val="en"/>
        </w:rPr>
        <w:t>rs</w:t>
      </w:r>
      <w:r w:rsidRPr="006F711F">
        <w:rPr>
          <w:rFonts w:ascii="Verdana" w:hAnsi="Verdana" w:cs="Arial"/>
          <w:sz w:val="20"/>
          <w:szCs w:val="20"/>
          <w:lang w:val="en"/>
        </w:rPr>
        <w:t xml:space="preserve"> </w:t>
      </w:r>
      <w:r>
        <w:rPr>
          <w:rFonts w:ascii="Verdana" w:hAnsi="Verdana" w:cs="Arial"/>
          <w:sz w:val="20"/>
          <w:szCs w:val="20"/>
          <w:lang w:val="en"/>
        </w:rPr>
        <w:t xml:space="preserve">of these vessels </w:t>
      </w:r>
      <w:r w:rsidRPr="006F711F">
        <w:rPr>
          <w:rFonts w:ascii="Verdana" w:hAnsi="Verdana" w:cs="Arial"/>
          <w:sz w:val="20"/>
          <w:szCs w:val="20"/>
          <w:lang w:val="en"/>
        </w:rPr>
        <w:t xml:space="preserve">from </w:t>
      </w:r>
      <w:r w:rsidRPr="0010523D">
        <w:rPr>
          <w:rFonts w:ascii="Verdana" w:hAnsi="Verdana" w:cs="Arial"/>
          <w:sz w:val="20"/>
          <w:szCs w:val="20"/>
          <w:lang w:val="en"/>
        </w:rPr>
        <w:t xml:space="preserve">TB Marine to </w:t>
      </w:r>
      <w:r>
        <w:rPr>
          <w:rFonts w:ascii="Verdana" w:hAnsi="Verdana" w:cs="Arial"/>
          <w:sz w:val="20"/>
          <w:szCs w:val="20"/>
          <w:lang w:val="en"/>
        </w:rPr>
        <w:t>Columbia Shipmanagement (for Nordic Ruth, Nordic Agnetha and Amy) and Thome Ship Management (for Nordic Hanne, Nordic Pia and Nordic Anne)</w:t>
      </w:r>
      <w:r w:rsidRPr="0010523D">
        <w:rPr>
          <w:rFonts w:ascii="Verdana" w:hAnsi="Verdana" w:cs="Arial"/>
          <w:sz w:val="20"/>
          <w:szCs w:val="20"/>
          <w:lang w:val="en"/>
        </w:rPr>
        <w:t>.</w:t>
      </w:r>
      <w:r w:rsidRPr="006F711F">
        <w:rPr>
          <w:rFonts w:ascii="Verdana" w:hAnsi="Verdana" w:cs="Arial"/>
          <w:sz w:val="20"/>
          <w:szCs w:val="20"/>
          <w:lang w:val="en"/>
        </w:rPr>
        <w:t xml:space="preserve"> </w:t>
      </w:r>
    </w:p>
    <w:p w:rsidR="00DC4417" w:rsidRDefault="00294E45" w:rsidP="00C62C39">
      <w:pPr>
        <w:jc w:val="both"/>
        <w:rPr>
          <w:rFonts w:ascii="Verdana" w:hAnsi="Verdana" w:cs="Arial"/>
          <w:sz w:val="20"/>
          <w:szCs w:val="20"/>
          <w:lang w:val="en"/>
        </w:rPr>
      </w:pPr>
      <w:r>
        <w:rPr>
          <w:rFonts w:ascii="Verdana" w:hAnsi="Verdana" w:cs="Arial"/>
          <w:sz w:val="20"/>
          <w:szCs w:val="20"/>
          <w:lang w:val="en"/>
        </w:rPr>
        <w:t xml:space="preserve">In late 2013, the Company established </w:t>
      </w:r>
      <w:r w:rsidR="00163589">
        <w:rPr>
          <w:rFonts w:ascii="Verdana" w:hAnsi="Verdana" w:cs="Arial"/>
          <w:sz w:val="20"/>
          <w:szCs w:val="20"/>
          <w:lang w:val="en"/>
        </w:rPr>
        <w:t xml:space="preserve">Nordic Shipholding Singapore Pte. Ltd., </w:t>
      </w:r>
      <w:r>
        <w:rPr>
          <w:rFonts w:ascii="Verdana" w:hAnsi="Verdana" w:cs="Arial"/>
          <w:sz w:val="20"/>
          <w:szCs w:val="20"/>
          <w:lang w:val="en"/>
        </w:rPr>
        <w:t>a wholl</w:t>
      </w:r>
      <w:r w:rsidR="00163589">
        <w:rPr>
          <w:rFonts w:ascii="Verdana" w:hAnsi="Verdana" w:cs="Arial"/>
          <w:sz w:val="20"/>
          <w:szCs w:val="20"/>
          <w:lang w:val="en"/>
        </w:rPr>
        <w:t xml:space="preserve">y-owned Singapore-incorporated </w:t>
      </w:r>
      <w:r>
        <w:rPr>
          <w:rFonts w:ascii="Verdana" w:hAnsi="Verdana" w:cs="Arial"/>
          <w:sz w:val="20"/>
          <w:szCs w:val="20"/>
          <w:lang w:val="en"/>
        </w:rPr>
        <w:t>subsidiary company</w:t>
      </w:r>
      <w:r w:rsidR="00163589">
        <w:rPr>
          <w:rFonts w:ascii="Verdana" w:hAnsi="Verdana" w:cs="Arial"/>
          <w:sz w:val="20"/>
          <w:szCs w:val="20"/>
          <w:lang w:val="en"/>
        </w:rPr>
        <w:t>.</w:t>
      </w:r>
      <w:r>
        <w:rPr>
          <w:rFonts w:ascii="Verdana" w:hAnsi="Verdana" w:cs="Arial"/>
          <w:sz w:val="20"/>
          <w:szCs w:val="20"/>
          <w:lang w:val="en"/>
        </w:rPr>
        <w:t xml:space="preserve"> Subsequent to the restructuring, </w:t>
      </w:r>
      <w:r w:rsidR="00C62C39">
        <w:rPr>
          <w:rFonts w:ascii="Verdana" w:hAnsi="Verdana" w:cs="Arial"/>
          <w:sz w:val="20"/>
          <w:szCs w:val="20"/>
          <w:lang w:val="en"/>
        </w:rPr>
        <w:t xml:space="preserve">Nordic Shipholding </w:t>
      </w:r>
      <w:r>
        <w:rPr>
          <w:rFonts w:ascii="Verdana" w:hAnsi="Verdana" w:cs="Arial"/>
          <w:sz w:val="20"/>
          <w:szCs w:val="20"/>
          <w:lang w:val="en"/>
        </w:rPr>
        <w:t xml:space="preserve">will transfer its 6 </w:t>
      </w:r>
      <w:r w:rsidR="00C62C39">
        <w:rPr>
          <w:rFonts w:ascii="Verdana" w:hAnsi="Verdana" w:cs="Arial"/>
          <w:sz w:val="20"/>
          <w:szCs w:val="20"/>
          <w:lang w:val="en"/>
        </w:rPr>
        <w:t>vessels to</w:t>
      </w:r>
      <w:r w:rsidR="00163589">
        <w:rPr>
          <w:rFonts w:ascii="Verdana" w:hAnsi="Verdana" w:cs="Arial"/>
          <w:sz w:val="20"/>
          <w:szCs w:val="20"/>
          <w:lang w:val="en"/>
        </w:rPr>
        <w:t xml:space="preserve"> individual </w:t>
      </w:r>
      <w:r w:rsidR="00C62C39">
        <w:rPr>
          <w:rFonts w:ascii="Verdana" w:hAnsi="Verdana" w:cs="Arial"/>
          <w:sz w:val="20"/>
          <w:szCs w:val="20"/>
          <w:lang w:val="en"/>
        </w:rPr>
        <w:t>wholly-owned</w:t>
      </w:r>
      <w:r w:rsidR="00163589">
        <w:rPr>
          <w:rFonts w:ascii="Verdana" w:hAnsi="Verdana" w:cs="Arial"/>
          <w:sz w:val="20"/>
          <w:szCs w:val="20"/>
          <w:lang w:val="en"/>
        </w:rPr>
        <w:t xml:space="preserve"> Singapore incorporated</w:t>
      </w:r>
      <w:r w:rsidR="00C62C39">
        <w:rPr>
          <w:rFonts w:ascii="Verdana" w:hAnsi="Verdana" w:cs="Arial"/>
          <w:sz w:val="20"/>
          <w:szCs w:val="20"/>
          <w:lang w:val="en"/>
        </w:rPr>
        <w:t xml:space="preserve"> legal entities</w:t>
      </w:r>
      <w:r w:rsidR="00163589">
        <w:rPr>
          <w:rFonts w:ascii="Verdana" w:hAnsi="Verdana" w:cs="Arial"/>
          <w:sz w:val="20"/>
          <w:szCs w:val="20"/>
          <w:lang w:val="en"/>
        </w:rPr>
        <w:t xml:space="preserve"> under Nordic Shipholding Singapore Pte. Ltd.</w:t>
      </w:r>
      <w:r w:rsidR="00C62C39">
        <w:rPr>
          <w:rFonts w:ascii="Verdana" w:hAnsi="Verdana" w:cs="Arial"/>
          <w:sz w:val="20"/>
          <w:szCs w:val="20"/>
          <w:lang w:val="en"/>
        </w:rPr>
        <w:t xml:space="preserve">  As of the date of this report, only Nordic Agnetha has been transferred, whilst the remaining 5 vessels will be transferred by 30 June 2014. </w:t>
      </w:r>
    </w:p>
    <w:p w:rsidR="00DC4417" w:rsidRDefault="00DC4417" w:rsidP="00C62C39">
      <w:pPr>
        <w:jc w:val="both"/>
        <w:rPr>
          <w:rFonts w:ascii="Verdana" w:hAnsi="Verdana" w:cs="Arial"/>
          <w:sz w:val="20"/>
          <w:szCs w:val="20"/>
          <w:lang w:val="en"/>
        </w:rPr>
      </w:pPr>
      <w:r>
        <w:rPr>
          <w:rFonts w:ascii="Verdana" w:hAnsi="Verdana" w:cs="Arial"/>
          <w:sz w:val="20"/>
          <w:szCs w:val="20"/>
          <w:lang w:val="en"/>
        </w:rPr>
        <w:t>The Company has also</w:t>
      </w:r>
      <w:r w:rsidR="00163589">
        <w:rPr>
          <w:rFonts w:ascii="Verdana" w:hAnsi="Verdana" w:cs="Arial"/>
          <w:sz w:val="20"/>
          <w:szCs w:val="20"/>
          <w:lang w:val="en"/>
        </w:rPr>
        <w:t xml:space="preserve"> finalised the liquidation of</w:t>
      </w:r>
      <w:r>
        <w:rPr>
          <w:rFonts w:ascii="Verdana" w:hAnsi="Verdana" w:cs="Arial"/>
          <w:sz w:val="20"/>
          <w:szCs w:val="20"/>
          <w:lang w:val="en"/>
        </w:rPr>
        <w:t xml:space="preserve"> 12 subsidiaries in 2013 following the divestment of its chemical tankers in 2012.</w:t>
      </w:r>
    </w:p>
    <w:p w:rsidR="00C62C39" w:rsidRDefault="00C62C39" w:rsidP="00C62C39">
      <w:pPr>
        <w:jc w:val="both"/>
        <w:rPr>
          <w:rFonts w:ascii="Verdana" w:hAnsi="Verdana"/>
          <w:sz w:val="20"/>
          <w:szCs w:val="20"/>
          <w:lang w:val="en-GB"/>
        </w:rPr>
      </w:pPr>
      <w:r>
        <w:rPr>
          <w:rFonts w:ascii="Verdana" w:hAnsi="Verdana" w:cstheme="minorHAnsi"/>
          <w:sz w:val="20"/>
          <w:szCs w:val="20"/>
        </w:rPr>
        <w:t>Post r</w:t>
      </w:r>
      <w:r w:rsidRPr="00195ED7">
        <w:rPr>
          <w:rFonts w:ascii="Verdana" w:hAnsi="Verdana" w:cstheme="minorHAnsi"/>
          <w:sz w:val="20"/>
          <w:szCs w:val="20"/>
        </w:rPr>
        <w:t>estructuring, the Company entered into a new corporate management agreement with Transport Capital Pte. Ltd., wh</w:t>
      </w:r>
      <w:r w:rsidR="00522AD0">
        <w:rPr>
          <w:rFonts w:ascii="Verdana" w:hAnsi="Verdana" w:cstheme="minorHAnsi"/>
          <w:sz w:val="20"/>
          <w:szCs w:val="20"/>
        </w:rPr>
        <w:t>ich</w:t>
      </w:r>
      <w:r w:rsidRPr="00195ED7">
        <w:rPr>
          <w:rFonts w:ascii="Verdana" w:hAnsi="Verdana" w:cstheme="minorHAnsi"/>
          <w:sz w:val="20"/>
          <w:szCs w:val="20"/>
        </w:rPr>
        <w:t xml:space="preserve"> has taken over the corporate </w:t>
      </w:r>
      <w:r w:rsidRPr="00195ED7">
        <w:rPr>
          <w:rFonts w:ascii="Verdana" w:hAnsi="Verdana" w:cs="Arial"/>
          <w:sz w:val="20"/>
          <w:szCs w:val="20"/>
          <w:lang w:val="en"/>
        </w:rPr>
        <w:t xml:space="preserve">management responsibilities from Hafnia Tankers (formerly </w:t>
      </w:r>
      <w:r w:rsidR="00F90642" w:rsidRPr="00195ED7">
        <w:rPr>
          <w:rFonts w:ascii="Verdana" w:hAnsi="Verdana" w:cs="Arial"/>
          <w:sz w:val="20"/>
          <w:szCs w:val="20"/>
          <w:lang w:val="en"/>
        </w:rPr>
        <w:t>Tankers Inc.</w:t>
      </w:r>
      <w:r w:rsidR="00F90642">
        <w:rPr>
          <w:rFonts w:ascii="Verdana" w:hAnsi="Verdana" w:cs="Arial"/>
          <w:sz w:val="20"/>
          <w:szCs w:val="20"/>
          <w:lang w:val="en"/>
        </w:rPr>
        <w:t xml:space="preserve"> Holdings A/S). </w:t>
      </w:r>
      <w:r w:rsidRPr="00195ED7">
        <w:rPr>
          <w:rFonts w:ascii="Verdana" w:hAnsi="Verdana" w:cs="Arial"/>
          <w:sz w:val="20"/>
          <w:szCs w:val="20"/>
          <w:lang w:val="en"/>
        </w:rPr>
        <w:t>Philip Clausius succeeded Thomas Andersen as CEO of the Company with effect from 2 January 2014 and Knud Pontoppidan remains as independent Chairman of the Board of Directors.</w:t>
      </w:r>
      <w:r>
        <w:rPr>
          <w:rFonts w:ascii="Verdana" w:hAnsi="Verdana" w:cs="Arial"/>
          <w:sz w:val="20"/>
          <w:szCs w:val="20"/>
          <w:lang w:val="en"/>
        </w:rPr>
        <w:t xml:space="preserve"> </w:t>
      </w:r>
    </w:p>
    <w:p w:rsidR="00C62C39" w:rsidRPr="00710493" w:rsidRDefault="00C62C39" w:rsidP="00C62C39">
      <w:pPr>
        <w:jc w:val="both"/>
        <w:rPr>
          <w:rFonts w:ascii="Verdana" w:hAnsi="Verdana"/>
          <w:sz w:val="20"/>
          <w:szCs w:val="20"/>
        </w:rPr>
      </w:pPr>
      <w:r w:rsidRPr="009E03BD">
        <w:rPr>
          <w:rFonts w:ascii="Verdana" w:hAnsi="Verdana"/>
          <w:sz w:val="20"/>
          <w:szCs w:val="20"/>
        </w:rPr>
        <w:lastRenderedPageBreak/>
        <w:t>During 2013</w:t>
      </w:r>
      <w:r>
        <w:rPr>
          <w:rFonts w:ascii="Verdana" w:hAnsi="Verdana"/>
          <w:sz w:val="20"/>
          <w:szCs w:val="20"/>
        </w:rPr>
        <w:t>,</w:t>
      </w:r>
      <w:r w:rsidRPr="009E03BD">
        <w:rPr>
          <w:rFonts w:ascii="Verdana" w:hAnsi="Verdana"/>
          <w:sz w:val="20"/>
          <w:szCs w:val="20"/>
        </w:rPr>
        <w:t xml:space="preserve"> </w:t>
      </w:r>
      <w:r>
        <w:rPr>
          <w:rFonts w:ascii="Verdana" w:hAnsi="Verdana"/>
          <w:sz w:val="20"/>
          <w:szCs w:val="20"/>
        </w:rPr>
        <w:t>tanker freight rates for the</w:t>
      </w:r>
      <w:r w:rsidRPr="009E03BD">
        <w:rPr>
          <w:rFonts w:ascii="Verdana" w:hAnsi="Verdana"/>
          <w:sz w:val="20"/>
          <w:szCs w:val="20"/>
        </w:rPr>
        <w:t xml:space="preserve"> fleet were largely flat compared to 2012. </w:t>
      </w:r>
      <w:r>
        <w:rPr>
          <w:rFonts w:ascii="Verdana" w:hAnsi="Verdana"/>
          <w:sz w:val="20"/>
          <w:szCs w:val="20"/>
        </w:rPr>
        <w:t xml:space="preserve"> </w:t>
      </w:r>
      <w:r w:rsidRPr="009E03BD">
        <w:rPr>
          <w:rFonts w:ascii="Verdana" w:hAnsi="Verdana"/>
          <w:sz w:val="20"/>
          <w:szCs w:val="20"/>
        </w:rPr>
        <w:t>The year was negatively impacted by about 6 mon</w:t>
      </w:r>
      <w:r w:rsidR="001F4E7B">
        <w:rPr>
          <w:rFonts w:ascii="Verdana" w:hAnsi="Verdana"/>
          <w:sz w:val="20"/>
          <w:szCs w:val="20"/>
        </w:rPr>
        <w:t xml:space="preserve">ths of lost revenue for </w:t>
      </w:r>
      <w:r w:rsidRPr="009E03BD">
        <w:rPr>
          <w:rFonts w:ascii="Verdana" w:hAnsi="Verdana"/>
          <w:sz w:val="20"/>
          <w:szCs w:val="20"/>
        </w:rPr>
        <w:t xml:space="preserve">Nordic Ruth as a result of her undergoing extensive repairs. </w:t>
      </w:r>
      <w:r>
        <w:rPr>
          <w:rFonts w:ascii="Verdana" w:hAnsi="Verdana"/>
          <w:sz w:val="20"/>
          <w:szCs w:val="20"/>
        </w:rPr>
        <w:t xml:space="preserve"> </w:t>
      </w:r>
      <w:r w:rsidRPr="009E03BD">
        <w:rPr>
          <w:rFonts w:ascii="Verdana" w:hAnsi="Verdana"/>
          <w:sz w:val="20"/>
          <w:szCs w:val="20"/>
        </w:rPr>
        <w:t>In general</w:t>
      </w:r>
      <w:r w:rsidR="00F31F11">
        <w:rPr>
          <w:rFonts w:ascii="Verdana" w:hAnsi="Verdana"/>
          <w:sz w:val="20"/>
          <w:szCs w:val="20"/>
        </w:rPr>
        <w:t>,</w:t>
      </w:r>
      <w:r w:rsidRPr="009E03BD">
        <w:rPr>
          <w:rFonts w:ascii="Verdana" w:hAnsi="Verdana"/>
          <w:sz w:val="20"/>
          <w:szCs w:val="20"/>
        </w:rPr>
        <w:t xml:space="preserve"> freight rates came in below expectations of most experts. Whilst fundamentals for the product tanker sector give reason to be cautiously optimistic</w:t>
      </w:r>
      <w:r w:rsidR="00F31F11">
        <w:rPr>
          <w:rFonts w:ascii="Verdana" w:hAnsi="Verdana"/>
          <w:sz w:val="20"/>
          <w:szCs w:val="20"/>
        </w:rPr>
        <w:t>,</w:t>
      </w:r>
      <w:r w:rsidRPr="009E03BD">
        <w:rPr>
          <w:rFonts w:ascii="Verdana" w:hAnsi="Verdana"/>
          <w:sz w:val="20"/>
          <w:szCs w:val="20"/>
        </w:rPr>
        <w:t xml:space="preserve"> </w:t>
      </w:r>
      <w:r>
        <w:rPr>
          <w:rFonts w:ascii="Verdana" w:hAnsi="Verdana"/>
          <w:sz w:val="20"/>
          <w:szCs w:val="20"/>
        </w:rPr>
        <w:t>Nordic Shipholding has</w:t>
      </w:r>
      <w:r w:rsidRPr="009E03BD">
        <w:rPr>
          <w:rFonts w:ascii="Verdana" w:hAnsi="Verdana"/>
          <w:sz w:val="20"/>
          <w:szCs w:val="20"/>
        </w:rPr>
        <w:t xml:space="preserve"> yet to experience the more pronounced upward moment</w:t>
      </w:r>
      <w:r>
        <w:rPr>
          <w:rFonts w:ascii="Verdana" w:hAnsi="Verdana"/>
          <w:sz w:val="20"/>
          <w:szCs w:val="20"/>
        </w:rPr>
        <w:t xml:space="preserve">um that the market </w:t>
      </w:r>
      <w:r w:rsidRPr="009E03BD">
        <w:rPr>
          <w:rFonts w:ascii="Verdana" w:hAnsi="Verdana"/>
          <w:sz w:val="20"/>
          <w:szCs w:val="20"/>
        </w:rPr>
        <w:t>is expecting.</w:t>
      </w:r>
    </w:p>
    <w:p w:rsidR="00C62C39" w:rsidRDefault="00853BF8" w:rsidP="00C62C39">
      <w:pPr>
        <w:jc w:val="both"/>
        <w:rPr>
          <w:rFonts w:ascii="Verdana" w:hAnsi="Verdana" w:cstheme="minorHAnsi"/>
          <w:sz w:val="20"/>
          <w:szCs w:val="20"/>
        </w:rPr>
      </w:pPr>
      <w:r>
        <w:rPr>
          <w:rFonts w:ascii="Verdana" w:hAnsi="Verdana" w:cstheme="minorHAnsi"/>
          <w:sz w:val="20"/>
          <w:szCs w:val="20"/>
        </w:rPr>
        <w:t xml:space="preserve">As shown in the </w:t>
      </w:r>
      <w:r w:rsidR="00C62C39">
        <w:rPr>
          <w:rFonts w:ascii="Verdana" w:hAnsi="Verdana" w:cstheme="minorHAnsi"/>
          <w:sz w:val="20"/>
          <w:szCs w:val="20"/>
        </w:rPr>
        <w:t>table</w:t>
      </w:r>
      <w:r>
        <w:rPr>
          <w:rFonts w:ascii="Verdana" w:hAnsi="Verdana" w:cstheme="minorHAnsi"/>
          <w:sz w:val="20"/>
          <w:szCs w:val="20"/>
        </w:rPr>
        <w:t xml:space="preserve"> (on page 6)</w:t>
      </w:r>
      <w:r w:rsidR="00C62C39">
        <w:rPr>
          <w:rFonts w:ascii="Verdana" w:hAnsi="Verdana" w:cstheme="minorHAnsi"/>
          <w:sz w:val="20"/>
          <w:szCs w:val="20"/>
        </w:rPr>
        <w:t xml:space="preserve">, for 2013, Nordic Shipholding has recognised a one-off gain of </w:t>
      </w:r>
      <w:r w:rsidR="00C62C39" w:rsidRPr="00AA7D48">
        <w:rPr>
          <w:rFonts w:ascii="Verdana" w:hAnsi="Verdana" w:cstheme="minorHAnsi"/>
          <w:sz w:val="20"/>
          <w:szCs w:val="20"/>
        </w:rPr>
        <w:t>USD</w:t>
      </w:r>
      <w:r w:rsidR="00F31F11">
        <w:rPr>
          <w:rFonts w:ascii="Verdana" w:hAnsi="Verdana" w:cstheme="minorHAnsi"/>
          <w:sz w:val="20"/>
          <w:szCs w:val="20"/>
        </w:rPr>
        <w:t xml:space="preserve"> </w:t>
      </w:r>
      <w:r w:rsidR="00C62C39" w:rsidRPr="00AA7D48">
        <w:rPr>
          <w:rFonts w:ascii="Verdana" w:hAnsi="Verdana" w:cstheme="minorHAnsi"/>
          <w:sz w:val="20"/>
          <w:szCs w:val="20"/>
        </w:rPr>
        <w:t>28.</w:t>
      </w:r>
      <w:r w:rsidR="00F31F11">
        <w:rPr>
          <w:rFonts w:ascii="Verdana" w:hAnsi="Verdana" w:cstheme="minorHAnsi"/>
          <w:sz w:val="20"/>
          <w:szCs w:val="20"/>
        </w:rPr>
        <w:t>6</w:t>
      </w:r>
      <w:r w:rsidR="00C62C39" w:rsidRPr="00AA7D48">
        <w:rPr>
          <w:rFonts w:ascii="Verdana" w:hAnsi="Verdana" w:cstheme="minorHAnsi"/>
          <w:sz w:val="20"/>
          <w:szCs w:val="20"/>
        </w:rPr>
        <w:t xml:space="preserve"> million</w:t>
      </w:r>
      <w:r w:rsidR="00C62C39">
        <w:rPr>
          <w:rFonts w:ascii="Verdana" w:hAnsi="Verdana" w:cstheme="minorHAnsi"/>
          <w:sz w:val="20"/>
          <w:szCs w:val="20"/>
        </w:rPr>
        <w:t xml:space="preserve"> arising from the restructuring.  This resulted in a total profit of USD</w:t>
      </w:r>
      <w:r w:rsidR="00F31F11">
        <w:rPr>
          <w:rFonts w:ascii="Verdana" w:hAnsi="Verdana" w:cstheme="minorHAnsi"/>
          <w:sz w:val="20"/>
          <w:szCs w:val="20"/>
        </w:rPr>
        <w:t xml:space="preserve"> </w:t>
      </w:r>
      <w:r w:rsidR="00C62C39">
        <w:rPr>
          <w:rFonts w:ascii="Verdana" w:hAnsi="Verdana" w:cstheme="minorHAnsi"/>
          <w:sz w:val="20"/>
          <w:szCs w:val="20"/>
        </w:rPr>
        <w:t>19.</w:t>
      </w:r>
      <w:r w:rsidR="001F4E7B">
        <w:rPr>
          <w:rFonts w:ascii="Verdana" w:hAnsi="Verdana" w:cstheme="minorHAnsi"/>
          <w:sz w:val="20"/>
          <w:szCs w:val="20"/>
        </w:rPr>
        <w:t>4</w:t>
      </w:r>
      <w:r w:rsidR="00C62C39" w:rsidRPr="00AA7D48">
        <w:rPr>
          <w:rFonts w:ascii="Verdana" w:hAnsi="Verdana" w:cstheme="minorHAnsi"/>
          <w:sz w:val="20"/>
          <w:szCs w:val="20"/>
        </w:rPr>
        <w:t xml:space="preserve"> million</w:t>
      </w:r>
      <w:r w:rsidR="00C62C39">
        <w:rPr>
          <w:rFonts w:ascii="Verdana" w:hAnsi="Verdana" w:cstheme="minorHAnsi"/>
          <w:sz w:val="20"/>
          <w:szCs w:val="20"/>
        </w:rPr>
        <w:t xml:space="preserve"> for the year.  Excluding this one-off </w:t>
      </w:r>
      <w:r w:rsidR="00C62C39" w:rsidRPr="00F70042">
        <w:rPr>
          <w:rFonts w:ascii="Verdana" w:hAnsi="Verdana" w:cstheme="minorHAnsi"/>
          <w:sz w:val="20"/>
          <w:szCs w:val="20"/>
        </w:rPr>
        <w:t xml:space="preserve">gain of </w:t>
      </w:r>
      <w:r w:rsidR="00C62C39" w:rsidRPr="00670C74">
        <w:rPr>
          <w:rFonts w:ascii="Verdana" w:hAnsi="Verdana" w:cstheme="minorHAnsi"/>
          <w:sz w:val="20"/>
          <w:szCs w:val="20"/>
        </w:rPr>
        <w:t>USD</w:t>
      </w:r>
      <w:r w:rsidR="00F31F11">
        <w:rPr>
          <w:rFonts w:ascii="Verdana" w:hAnsi="Verdana" w:cstheme="minorHAnsi"/>
          <w:sz w:val="20"/>
          <w:szCs w:val="20"/>
        </w:rPr>
        <w:t xml:space="preserve"> </w:t>
      </w:r>
      <w:r w:rsidR="00C62C39" w:rsidRPr="00670C74">
        <w:rPr>
          <w:rFonts w:ascii="Verdana" w:hAnsi="Verdana" w:cstheme="minorHAnsi"/>
          <w:sz w:val="20"/>
          <w:szCs w:val="20"/>
        </w:rPr>
        <w:t>28.</w:t>
      </w:r>
      <w:r w:rsidR="00F31F11">
        <w:rPr>
          <w:rFonts w:ascii="Verdana" w:hAnsi="Verdana" w:cstheme="minorHAnsi"/>
          <w:sz w:val="20"/>
          <w:szCs w:val="20"/>
        </w:rPr>
        <w:t>6</w:t>
      </w:r>
      <w:r w:rsidR="00C62C39" w:rsidRPr="00670C74">
        <w:rPr>
          <w:rFonts w:ascii="Verdana" w:hAnsi="Verdana" w:cstheme="minorHAnsi"/>
          <w:sz w:val="20"/>
          <w:szCs w:val="20"/>
        </w:rPr>
        <w:t xml:space="preserve"> million</w:t>
      </w:r>
      <w:r w:rsidR="00C62C39" w:rsidRPr="00F70042">
        <w:rPr>
          <w:rFonts w:ascii="Verdana" w:hAnsi="Verdana" w:cstheme="minorHAnsi"/>
          <w:sz w:val="20"/>
          <w:szCs w:val="20"/>
        </w:rPr>
        <w:t xml:space="preserve">, Nordic Shipholding </w:t>
      </w:r>
      <w:r w:rsidR="00C62C39">
        <w:rPr>
          <w:rFonts w:ascii="Verdana" w:hAnsi="Verdana" w:cstheme="minorHAnsi"/>
          <w:sz w:val="20"/>
          <w:szCs w:val="20"/>
        </w:rPr>
        <w:t>incurre</w:t>
      </w:r>
      <w:r w:rsidR="00C62C39" w:rsidRPr="00F70042">
        <w:rPr>
          <w:rFonts w:ascii="Verdana" w:hAnsi="Verdana" w:cstheme="minorHAnsi"/>
          <w:sz w:val="20"/>
          <w:szCs w:val="20"/>
        </w:rPr>
        <w:t xml:space="preserve">d a net loss for 2013 of </w:t>
      </w:r>
      <w:r w:rsidR="00C62C39" w:rsidRPr="00670C74">
        <w:rPr>
          <w:rFonts w:ascii="Verdana" w:hAnsi="Verdana" w:cstheme="minorHAnsi"/>
          <w:sz w:val="20"/>
          <w:szCs w:val="20"/>
        </w:rPr>
        <w:t>USD</w:t>
      </w:r>
      <w:r w:rsidR="00C62C39">
        <w:rPr>
          <w:rFonts w:ascii="Verdana" w:hAnsi="Verdana" w:cstheme="minorHAnsi"/>
          <w:sz w:val="20"/>
          <w:szCs w:val="20"/>
        </w:rPr>
        <w:t xml:space="preserve"> 9.</w:t>
      </w:r>
      <w:r w:rsidR="005B2971">
        <w:rPr>
          <w:rFonts w:ascii="Verdana" w:hAnsi="Verdana" w:cstheme="minorHAnsi"/>
          <w:sz w:val="20"/>
          <w:szCs w:val="20"/>
        </w:rPr>
        <w:t>1</w:t>
      </w:r>
      <w:r w:rsidR="00C62C39">
        <w:rPr>
          <w:rFonts w:ascii="Verdana" w:hAnsi="Verdana" w:cstheme="minorHAnsi"/>
          <w:sz w:val="20"/>
          <w:szCs w:val="20"/>
        </w:rPr>
        <w:t xml:space="preserve"> </w:t>
      </w:r>
      <w:r w:rsidR="00C62C39" w:rsidRPr="00670C74">
        <w:rPr>
          <w:rFonts w:ascii="Verdana" w:hAnsi="Verdana" w:cstheme="minorHAnsi"/>
          <w:sz w:val="20"/>
          <w:szCs w:val="20"/>
        </w:rPr>
        <w:t>million</w:t>
      </w:r>
      <w:r w:rsidR="00C62C39">
        <w:rPr>
          <w:rFonts w:ascii="Verdana" w:hAnsi="Verdana" w:cstheme="minorHAnsi"/>
          <w:sz w:val="20"/>
          <w:szCs w:val="20"/>
        </w:rPr>
        <w:t>.</w:t>
      </w:r>
    </w:p>
    <w:p w:rsidR="00C62C39" w:rsidRPr="00204AB2" w:rsidRDefault="00C62C39" w:rsidP="00C62C39">
      <w:pPr>
        <w:jc w:val="both"/>
        <w:rPr>
          <w:rFonts w:ascii="Verdana" w:hAnsi="Verdana"/>
          <w:sz w:val="20"/>
          <w:szCs w:val="20"/>
          <w:lang w:val="en-GB"/>
        </w:rPr>
      </w:pPr>
      <w:r>
        <w:rPr>
          <w:rFonts w:ascii="Verdana" w:hAnsi="Verdana" w:cstheme="minorHAnsi"/>
          <w:sz w:val="20"/>
          <w:szCs w:val="20"/>
        </w:rPr>
        <w:t>Gross revenue earned by the 6 vessels reached USD</w:t>
      </w:r>
      <w:r w:rsidR="00F31F11">
        <w:rPr>
          <w:rFonts w:ascii="Verdana" w:hAnsi="Verdana" w:cstheme="minorHAnsi"/>
          <w:sz w:val="20"/>
          <w:szCs w:val="20"/>
        </w:rPr>
        <w:t xml:space="preserve"> </w:t>
      </w:r>
      <w:r>
        <w:rPr>
          <w:rFonts w:ascii="Verdana" w:hAnsi="Verdana" w:cstheme="minorHAnsi"/>
          <w:sz w:val="20"/>
          <w:szCs w:val="20"/>
        </w:rPr>
        <w:t>60</w:t>
      </w:r>
      <w:r w:rsidR="00F31F11">
        <w:rPr>
          <w:rFonts w:ascii="Verdana" w:hAnsi="Verdana" w:cstheme="minorHAnsi"/>
          <w:sz w:val="20"/>
          <w:szCs w:val="20"/>
        </w:rPr>
        <w:t>.0</w:t>
      </w:r>
      <w:r>
        <w:rPr>
          <w:rFonts w:ascii="Verdana" w:hAnsi="Verdana" w:cstheme="minorHAnsi"/>
          <w:sz w:val="20"/>
          <w:szCs w:val="20"/>
        </w:rPr>
        <w:t xml:space="preserve"> million, which resulted in a </w:t>
      </w:r>
      <w:r w:rsidRPr="00F70042">
        <w:rPr>
          <w:rFonts w:ascii="Verdana" w:hAnsi="Verdana" w:cstheme="minorHAnsi"/>
          <w:sz w:val="20"/>
          <w:szCs w:val="20"/>
        </w:rPr>
        <w:t xml:space="preserve">TCE revenue </w:t>
      </w:r>
      <w:r>
        <w:rPr>
          <w:rFonts w:ascii="Verdana" w:hAnsi="Verdana" w:cstheme="minorHAnsi"/>
          <w:sz w:val="20"/>
          <w:szCs w:val="20"/>
        </w:rPr>
        <w:t>of</w:t>
      </w:r>
      <w:r w:rsidRPr="00F70042">
        <w:rPr>
          <w:rFonts w:ascii="Verdana" w:hAnsi="Verdana" w:cstheme="minorHAnsi"/>
          <w:sz w:val="20"/>
          <w:szCs w:val="20"/>
        </w:rPr>
        <w:t xml:space="preserve"> </w:t>
      </w:r>
      <w:r w:rsidRPr="00670C74">
        <w:rPr>
          <w:rFonts w:ascii="Verdana" w:hAnsi="Verdana" w:cstheme="minorHAnsi"/>
          <w:sz w:val="20"/>
          <w:szCs w:val="20"/>
        </w:rPr>
        <w:t>USD</w:t>
      </w:r>
      <w:r w:rsidR="00F31F11">
        <w:rPr>
          <w:rFonts w:ascii="Verdana" w:hAnsi="Verdana" w:cstheme="minorHAnsi"/>
          <w:sz w:val="20"/>
          <w:szCs w:val="20"/>
        </w:rPr>
        <w:t xml:space="preserve"> </w:t>
      </w:r>
      <w:r>
        <w:rPr>
          <w:rFonts w:ascii="Verdana" w:hAnsi="Verdana" w:cstheme="minorHAnsi"/>
          <w:sz w:val="20"/>
          <w:szCs w:val="20"/>
        </w:rPr>
        <w:t>25.9</w:t>
      </w:r>
      <w:r w:rsidRPr="00670C74">
        <w:rPr>
          <w:rFonts w:ascii="Verdana" w:hAnsi="Verdana" w:cstheme="minorHAnsi"/>
          <w:sz w:val="20"/>
          <w:szCs w:val="20"/>
        </w:rPr>
        <w:t xml:space="preserve"> million</w:t>
      </w:r>
      <w:r>
        <w:rPr>
          <w:rFonts w:ascii="Verdana" w:hAnsi="Verdana" w:cstheme="minorHAnsi"/>
          <w:sz w:val="20"/>
          <w:szCs w:val="20"/>
        </w:rPr>
        <w:t xml:space="preserve"> and an </w:t>
      </w:r>
      <w:r w:rsidRPr="00F70042">
        <w:rPr>
          <w:rFonts w:ascii="Verdana" w:hAnsi="Verdana" w:cstheme="minorHAnsi"/>
          <w:sz w:val="20"/>
          <w:szCs w:val="20"/>
        </w:rPr>
        <w:t xml:space="preserve">EBITDA </w:t>
      </w:r>
      <w:r>
        <w:rPr>
          <w:rFonts w:ascii="Verdana" w:hAnsi="Verdana" w:cstheme="minorHAnsi"/>
          <w:sz w:val="20"/>
          <w:szCs w:val="20"/>
        </w:rPr>
        <w:t>of</w:t>
      </w:r>
      <w:r w:rsidRPr="00F70042">
        <w:rPr>
          <w:rFonts w:ascii="Verdana" w:hAnsi="Verdana" w:cstheme="minorHAnsi"/>
          <w:sz w:val="20"/>
          <w:szCs w:val="20"/>
        </w:rPr>
        <w:t xml:space="preserve"> </w:t>
      </w:r>
      <w:r w:rsidRPr="00670C74">
        <w:rPr>
          <w:rFonts w:ascii="Verdana" w:hAnsi="Verdana" w:cstheme="minorHAnsi"/>
          <w:sz w:val="20"/>
          <w:szCs w:val="20"/>
        </w:rPr>
        <w:t>USD</w:t>
      </w:r>
      <w:r w:rsidR="00F31F11">
        <w:rPr>
          <w:rFonts w:ascii="Verdana" w:hAnsi="Verdana" w:cstheme="minorHAnsi"/>
          <w:sz w:val="20"/>
          <w:szCs w:val="20"/>
        </w:rPr>
        <w:t xml:space="preserve"> </w:t>
      </w:r>
      <w:r w:rsidRPr="00670C74">
        <w:rPr>
          <w:rFonts w:ascii="Verdana" w:hAnsi="Verdana" w:cstheme="minorHAnsi"/>
          <w:sz w:val="20"/>
          <w:szCs w:val="20"/>
        </w:rPr>
        <w:t>3.6 million</w:t>
      </w:r>
      <w:r>
        <w:rPr>
          <w:rFonts w:ascii="Verdana" w:hAnsi="Verdana" w:cstheme="minorHAnsi"/>
          <w:sz w:val="20"/>
          <w:szCs w:val="20"/>
        </w:rPr>
        <w:t>. Equity totalled</w:t>
      </w:r>
      <w:r w:rsidRPr="00670C74">
        <w:rPr>
          <w:rFonts w:ascii="Verdana" w:hAnsi="Verdana" w:cstheme="minorHAnsi"/>
          <w:sz w:val="20"/>
          <w:szCs w:val="20"/>
        </w:rPr>
        <w:t xml:space="preserve"> USD </w:t>
      </w:r>
      <w:r>
        <w:rPr>
          <w:rFonts w:ascii="Verdana" w:hAnsi="Verdana" w:cstheme="minorHAnsi"/>
          <w:sz w:val="20"/>
          <w:szCs w:val="20"/>
        </w:rPr>
        <w:t>28</w:t>
      </w:r>
      <w:r w:rsidRPr="00670C74">
        <w:rPr>
          <w:rFonts w:ascii="Verdana" w:hAnsi="Verdana" w:cstheme="minorHAnsi"/>
          <w:sz w:val="20"/>
          <w:szCs w:val="20"/>
        </w:rPr>
        <w:t>.2 million</w:t>
      </w:r>
    </w:p>
    <w:p w:rsidR="004828C2" w:rsidRDefault="004828C2" w:rsidP="00C62C39">
      <w:pPr>
        <w:jc w:val="both"/>
        <w:rPr>
          <w:rFonts w:ascii="Verdana" w:hAnsi="Verdana"/>
          <w:sz w:val="20"/>
          <w:szCs w:val="20"/>
          <w:lang w:val="en-GB"/>
        </w:rPr>
      </w:pPr>
      <w:r>
        <w:rPr>
          <w:rFonts w:ascii="Verdana" w:hAnsi="Verdana"/>
          <w:sz w:val="20"/>
          <w:szCs w:val="20"/>
          <w:lang w:val="en-GB"/>
        </w:rPr>
        <w:t>No write-downs were recognised in 2013 as the impairment tests on the fleet revealed independent broker valuations exceeding the carrying amounts of the vessels at year-end.</w:t>
      </w:r>
    </w:p>
    <w:p w:rsidR="00C62C39" w:rsidRPr="00D83C2C" w:rsidRDefault="00C62C39" w:rsidP="00C62C39">
      <w:pPr>
        <w:jc w:val="both"/>
        <w:rPr>
          <w:rFonts w:ascii="Verdana" w:hAnsi="Verdana" w:cs="Arial"/>
          <w:sz w:val="20"/>
          <w:szCs w:val="20"/>
          <w:lang w:val="en"/>
        </w:rPr>
      </w:pPr>
      <w:r>
        <w:rPr>
          <w:rFonts w:ascii="Verdana" w:hAnsi="Verdana"/>
          <w:sz w:val="20"/>
          <w:szCs w:val="20"/>
          <w:lang w:val="en-GB"/>
        </w:rPr>
        <w:t xml:space="preserve">Going forward, the Board of Directors and management </w:t>
      </w:r>
      <w:r>
        <w:rPr>
          <w:rFonts w:ascii="Verdana" w:hAnsi="Verdana" w:cs="Arial"/>
          <w:sz w:val="20"/>
          <w:szCs w:val="20"/>
          <w:lang w:val="en"/>
        </w:rPr>
        <w:t>seek to maximis</w:t>
      </w:r>
      <w:r w:rsidRPr="006F711F">
        <w:rPr>
          <w:rFonts w:ascii="Verdana" w:hAnsi="Verdana" w:cs="Arial"/>
          <w:sz w:val="20"/>
          <w:szCs w:val="20"/>
          <w:lang w:val="en"/>
        </w:rPr>
        <w:t>e shareholder returns.</w:t>
      </w:r>
      <w:r>
        <w:rPr>
          <w:rFonts w:ascii="Verdana" w:hAnsi="Verdana" w:cs="Arial"/>
          <w:sz w:val="20"/>
          <w:szCs w:val="20"/>
          <w:lang w:val="en"/>
        </w:rPr>
        <w:t xml:space="preserve"> </w:t>
      </w:r>
    </w:p>
    <w:p w:rsidR="00C62C39" w:rsidRPr="00661F98" w:rsidRDefault="00C62C39" w:rsidP="00C62C39">
      <w:pPr>
        <w:jc w:val="both"/>
        <w:rPr>
          <w:rFonts w:ascii="Verdana" w:hAnsi="Verdana"/>
          <w:sz w:val="20"/>
          <w:szCs w:val="20"/>
          <w:lang w:val="en-GB"/>
        </w:rPr>
      </w:pPr>
      <w:r w:rsidRPr="00EF3F29">
        <w:rPr>
          <w:rFonts w:ascii="Verdana" w:hAnsi="Verdana"/>
          <w:sz w:val="20"/>
          <w:szCs w:val="20"/>
          <w:lang w:val="en-GB"/>
        </w:rPr>
        <w:t xml:space="preserve">The Board of Directors and management remain thankful to our more than </w:t>
      </w:r>
      <w:r>
        <w:rPr>
          <w:rFonts w:ascii="Verdana" w:hAnsi="Verdana"/>
          <w:sz w:val="20"/>
          <w:szCs w:val="20"/>
          <w:lang w:val="en-GB"/>
        </w:rPr>
        <w:t>5</w:t>
      </w:r>
      <w:r w:rsidRPr="00EF3F29">
        <w:rPr>
          <w:rFonts w:ascii="Verdana" w:hAnsi="Verdana"/>
          <w:sz w:val="20"/>
          <w:szCs w:val="20"/>
          <w:lang w:val="en-GB"/>
        </w:rPr>
        <w:t>,</w:t>
      </w:r>
      <w:r>
        <w:rPr>
          <w:rFonts w:ascii="Verdana" w:hAnsi="Verdana"/>
          <w:sz w:val="20"/>
          <w:szCs w:val="20"/>
          <w:lang w:val="en-GB"/>
        </w:rPr>
        <w:t>0</w:t>
      </w:r>
      <w:r w:rsidRPr="00EF3F29">
        <w:rPr>
          <w:rFonts w:ascii="Verdana" w:hAnsi="Verdana"/>
          <w:sz w:val="20"/>
          <w:szCs w:val="20"/>
          <w:lang w:val="en-GB"/>
        </w:rPr>
        <w:t xml:space="preserve">00 shareholders that </w:t>
      </w:r>
      <w:r w:rsidRPr="00661F98">
        <w:rPr>
          <w:rFonts w:ascii="Verdana" w:hAnsi="Verdana"/>
          <w:sz w:val="20"/>
          <w:szCs w:val="20"/>
          <w:lang w:val="en-GB"/>
        </w:rPr>
        <w:t>continued to sup</w:t>
      </w:r>
      <w:r>
        <w:rPr>
          <w:rFonts w:ascii="Verdana" w:hAnsi="Verdana"/>
          <w:sz w:val="20"/>
          <w:szCs w:val="20"/>
          <w:lang w:val="en-GB"/>
        </w:rPr>
        <w:t>port the Company throughout 2013</w:t>
      </w:r>
      <w:r w:rsidRPr="00661F98">
        <w:rPr>
          <w:rFonts w:ascii="Verdana" w:hAnsi="Verdana"/>
          <w:sz w:val="20"/>
          <w:szCs w:val="20"/>
          <w:lang w:val="en-GB"/>
        </w:rPr>
        <w:t xml:space="preserve">. </w:t>
      </w:r>
    </w:p>
    <w:p w:rsidR="00C62C39" w:rsidRPr="00661F98" w:rsidRDefault="00C62C39" w:rsidP="00C62C39">
      <w:pPr>
        <w:jc w:val="both"/>
        <w:rPr>
          <w:rFonts w:ascii="Verdana" w:hAnsi="Verdana"/>
          <w:sz w:val="20"/>
          <w:szCs w:val="20"/>
          <w:lang w:val="en-GB"/>
        </w:rPr>
      </w:pPr>
    </w:p>
    <w:p w:rsidR="00C62C39" w:rsidRPr="00661F98" w:rsidRDefault="00C62C39" w:rsidP="00C62C39">
      <w:pPr>
        <w:spacing w:after="0"/>
        <w:ind w:firstLine="1304"/>
        <w:jc w:val="both"/>
        <w:rPr>
          <w:rFonts w:ascii="Verdana" w:hAnsi="Verdana"/>
          <w:sz w:val="20"/>
          <w:szCs w:val="20"/>
          <w:lang w:val="en-GB"/>
        </w:rPr>
      </w:pPr>
    </w:p>
    <w:p w:rsidR="00C62C39" w:rsidRPr="00661F98" w:rsidRDefault="00C62C39" w:rsidP="00C62C39">
      <w:pPr>
        <w:spacing w:after="0"/>
        <w:ind w:firstLine="1304"/>
        <w:jc w:val="both"/>
        <w:rPr>
          <w:rFonts w:ascii="Verdana" w:hAnsi="Verdana"/>
          <w:sz w:val="20"/>
          <w:szCs w:val="20"/>
          <w:lang w:val="en-GB"/>
        </w:rPr>
      </w:pPr>
    </w:p>
    <w:p w:rsidR="00C62C39" w:rsidRPr="00661F98" w:rsidRDefault="00C62C39" w:rsidP="00C62C39">
      <w:pPr>
        <w:spacing w:after="0"/>
        <w:jc w:val="both"/>
        <w:rPr>
          <w:rFonts w:ascii="Verdana" w:hAnsi="Verdana"/>
          <w:sz w:val="20"/>
          <w:szCs w:val="20"/>
          <w:lang w:val="en-GB"/>
        </w:rPr>
      </w:pPr>
      <w:r w:rsidRPr="00661F98">
        <w:rPr>
          <w:rFonts w:ascii="Verdana" w:hAnsi="Verdana"/>
          <w:sz w:val="20"/>
          <w:szCs w:val="20"/>
          <w:lang w:val="en-GB"/>
        </w:rPr>
        <w:t>Knud Pontoppidan</w:t>
      </w:r>
      <w:r w:rsidRPr="00661F98">
        <w:rPr>
          <w:rFonts w:ascii="Verdana" w:hAnsi="Verdana"/>
          <w:sz w:val="20"/>
          <w:szCs w:val="20"/>
          <w:lang w:val="en-GB"/>
        </w:rPr>
        <w:tab/>
      </w:r>
      <w:r w:rsidRPr="00661F98">
        <w:rPr>
          <w:rFonts w:ascii="Verdana" w:hAnsi="Verdana"/>
          <w:sz w:val="20"/>
          <w:szCs w:val="20"/>
          <w:lang w:val="en-GB"/>
        </w:rPr>
        <w:tab/>
      </w:r>
      <w:r w:rsidRPr="00661F98">
        <w:rPr>
          <w:rFonts w:ascii="Verdana" w:hAnsi="Verdana"/>
          <w:sz w:val="20"/>
          <w:szCs w:val="20"/>
          <w:lang w:val="en-GB"/>
        </w:rPr>
        <w:tab/>
      </w:r>
      <w:r>
        <w:rPr>
          <w:rFonts w:ascii="Verdana" w:hAnsi="Verdana"/>
          <w:sz w:val="20"/>
          <w:szCs w:val="20"/>
          <w:lang w:val="en-GB"/>
        </w:rPr>
        <w:tab/>
        <w:t>Philip Clausius</w:t>
      </w:r>
    </w:p>
    <w:p w:rsidR="00C62C39" w:rsidRDefault="00C62C39" w:rsidP="00C62C39">
      <w:pPr>
        <w:spacing w:after="0"/>
        <w:jc w:val="both"/>
        <w:rPr>
          <w:rFonts w:ascii="Verdana" w:hAnsi="Verdana"/>
          <w:sz w:val="20"/>
          <w:szCs w:val="20"/>
          <w:lang w:val="en-GB"/>
        </w:rPr>
      </w:pPr>
      <w:r w:rsidRPr="00661F98">
        <w:rPr>
          <w:rFonts w:ascii="Verdana" w:hAnsi="Verdana"/>
          <w:sz w:val="20"/>
          <w:szCs w:val="20"/>
          <w:lang w:val="en-GB"/>
        </w:rPr>
        <w:t>Chairman of the Board of Directors</w:t>
      </w:r>
      <w:r w:rsidRPr="00661F98">
        <w:rPr>
          <w:rFonts w:ascii="Verdana" w:hAnsi="Verdana"/>
          <w:sz w:val="20"/>
          <w:szCs w:val="20"/>
          <w:lang w:val="en-GB"/>
        </w:rPr>
        <w:tab/>
      </w:r>
      <w:r>
        <w:rPr>
          <w:rFonts w:ascii="Verdana" w:hAnsi="Verdana"/>
          <w:sz w:val="20"/>
          <w:szCs w:val="20"/>
          <w:lang w:val="en-GB"/>
        </w:rPr>
        <w:tab/>
      </w:r>
      <w:r w:rsidRPr="00661F98">
        <w:rPr>
          <w:rFonts w:ascii="Verdana" w:hAnsi="Verdana"/>
          <w:sz w:val="20"/>
          <w:szCs w:val="20"/>
          <w:lang w:val="en-GB"/>
        </w:rPr>
        <w:t>Chief Executive Officer</w:t>
      </w:r>
    </w:p>
    <w:p w:rsidR="00AF06D2" w:rsidRDefault="00AF06D2" w:rsidP="00AF07C5">
      <w:pPr>
        <w:jc w:val="both"/>
        <w:rPr>
          <w:rFonts w:ascii="Verdana" w:hAnsi="Verdana" w:cstheme="minorHAnsi"/>
          <w:sz w:val="20"/>
          <w:szCs w:val="20"/>
        </w:rPr>
      </w:pPr>
    </w:p>
    <w:p w:rsidR="00AF07C5" w:rsidRPr="00661F98" w:rsidRDefault="00AF07C5" w:rsidP="00D23D11">
      <w:pPr>
        <w:jc w:val="both"/>
        <w:rPr>
          <w:rFonts w:ascii="Verdana" w:hAnsi="Verdana"/>
          <w:sz w:val="20"/>
          <w:szCs w:val="20"/>
          <w:lang w:val="en-GB"/>
        </w:rPr>
      </w:pPr>
    </w:p>
    <w:p w:rsidR="00C62C39" w:rsidRDefault="00C62C39" w:rsidP="00D23D11">
      <w:pPr>
        <w:pStyle w:val="Heading1"/>
        <w:rPr>
          <w:rFonts w:ascii="Verdana" w:hAnsi="Verdana"/>
          <w:color w:val="17365D" w:themeColor="text2" w:themeShade="BF"/>
          <w:sz w:val="40"/>
          <w:szCs w:val="20"/>
          <w:lang w:val="en-GB"/>
        </w:rPr>
      </w:pPr>
      <w:bookmarkStart w:id="3" w:name="_Toc320195183"/>
    </w:p>
    <w:p w:rsidR="00C62C39" w:rsidRDefault="00C62C39" w:rsidP="00C62C39">
      <w:pPr>
        <w:rPr>
          <w:lang w:val="en-GB" w:eastAsia="da-DK"/>
        </w:rPr>
      </w:pPr>
    </w:p>
    <w:p w:rsidR="00C62C39" w:rsidRDefault="00C62C39" w:rsidP="00C62C39">
      <w:pPr>
        <w:rPr>
          <w:lang w:val="en-GB" w:eastAsia="da-DK"/>
        </w:rPr>
      </w:pPr>
    </w:p>
    <w:p w:rsidR="00C62C39" w:rsidRDefault="00C62C39" w:rsidP="00C62C39">
      <w:pPr>
        <w:rPr>
          <w:lang w:val="en-GB" w:eastAsia="da-DK"/>
        </w:rPr>
      </w:pPr>
    </w:p>
    <w:p w:rsidR="003819D0" w:rsidRDefault="003819D0" w:rsidP="00C62C39">
      <w:pPr>
        <w:rPr>
          <w:lang w:val="en-GB" w:eastAsia="da-DK"/>
        </w:rPr>
      </w:pPr>
    </w:p>
    <w:p w:rsidR="00C62C39" w:rsidRDefault="00C62C39" w:rsidP="00C62C39">
      <w:pPr>
        <w:rPr>
          <w:lang w:val="en-GB" w:eastAsia="da-DK"/>
        </w:rPr>
      </w:pPr>
    </w:p>
    <w:p w:rsidR="00134FC2" w:rsidRDefault="00134FC2" w:rsidP="00C62C39">
      <w:pPr>
        <w:rPr>
          <w:lang w:val="en-GB" w:eastAsia="da-DK"/>
        </w:rPr>
      </w:pPr>
    </w:p>
    <w:p w:rsidR="00134FC2" w:rsidRDefault="00134FC2" w:rsidP="00C62C39">
      <w:pPr>
        <w:rPr>
          <w:lang w:val="en-GB" w:eastAsia="da-DK"/>
        </w:rPr>
      </w:pPr>
    </w:p>
    <w:p w:rsidR="00134FC2" w:rsidRDefault="00134FC2" w:rsidP="00C62C39">
      <w:pPr>
        <w:rPr>
          <w:lang w:val="en-GB" w:eastAsia="da-DK"/>
        </w:rPr>
      </w:pPr>
    </w:p>
    <w:p w:rsidR="00134FC2" w:rsidRDefault="00134FC2" w:rsidP="00C62C39">
      <w:pPr>
        <w:rPr>
          <w:lang w:val="en-GB" w:eastAsia="da-DK"/>
        </w:rPr>
      </w:pPr>
    </w:p>
    <w:p w:rsidR="004E41E9" w:rsidRDefault="004E41E9" w:rsidP="00D23D11">
      <w:pPr>
        <w:pStyle w:val="Heading1"/>
        <w:rPr>
          <w:rFonts w:ascii="Verdana" w:hAnsi="Verdana"/>
          <w:color w:val="17365D" w:themeColor="text2" w:themeShade="BF"/>
          <w:sz w:val="40"/>
          <w:szCs w:val="20"/>
          <w:lang w:val="en-GB"/>
        </w:rPr>
      </w:pPr>
      <w:r>
        <w:rPr>
          <w:rFonts w:ascii="Verdana" w:hAnsi="Verdana"/>
          <w:color w:val="17365D" w:themeColor="text2" w:themeShade="BF"/>
          <w:sz w:val="40"/>
          <w:szCs w:val="20"/>
          <w:lang w:val="en-GB"/>
        </w:rPr>
        <w:lastRenderedPageBreak/>
        <w:t>Outlook for 20</w:t>
      </w:r>
      <w:r w:rsidR="0066485A">
        <w:rPr>
          <w:rFonts w:ascii="Verdana" w:hAnsi="Verdana"/>
          <w:color w:val="17365D" w:themeColor="text2" w:themeShade="BF"/>
          <w:sz w:val="40"/>
          <w:szCs w:val="20"/>
          <w:lang w:val="en-GB"/>
        </w:rPr>
        <w:t>1</w:t>
      </w:r>
      <w:r>
        <w:rPr>
          <w:rFonts w:ascii="Verdana" w:hAnsi="Verdana"/>
          <w:color w:val="17365D" w:themeColor="text2" w:themeShade="BF"/>
          <w:sz w:val="40"/>
          <w:szCs w:val="20"/>
          <w:lang w:val="en-GB"/>
        </w:rPr>
        <w:t xml:space="preserve">4 </w:t>
      </w:r>
    </w:p>
    <w:p w:rsidR="0066485A" w:rsidRPr="0066485A" w:rsidRDefault="0066485A" w:rsidP="0066485A">
      <w:pPr>
        <w:rPr>
          <w:lang w:val="en-GB" w:eastAsia="da-DK"/>
        </w:rPr>
      </w:pPr>
    </w:p>
    <w:p w:rsidR="0066485A" w:rsidRDefault="0066485A" w:rsidP="0066485A">
      <w:pPr>
        <w:spacing w:after="0"/>
        <w:jc w:val="both"/>
        <w:rPr>
          <w:rFonts w:ascii="Verdana" w:hAnsi="Verdana"/>
          <w:sz w:val="20"/>
          <w:szCs w:val="20"/>
          <w:lang w:val="en-GB"/>
        </w:rPr>
      </w:pPr>
      <w:r>
        <w:rPr>
          <w:rFonts w:ascii="Verdana" w:hAnsi="Verdana"/>
          <w:sz w:val="20"/>
          <w:szCs w:val="20"/>
          <w:lang w:val="en-GB"/>
        </w:rPr>
        <w:t>The restructuring which was completed in late December 2013 provided the Group with the much needed liquidity and a</w:t>
      </w:r>
      <w:r w:rsidR="00512967">
        <w:rPr>
          <w:rFonts w:ascii="Verdana" w:hAnsi="Verdana"/>
          <w:sz w:val="20"/>
          <w:szCs w:val="20"/>
          <w:lang w:val="en-GB"/>
        </w:rPr>
        <w:t>n improved</w:t>
      </w:r>
      <w:r>
        <w:rPr>
          <w:rFonts w:ascii="Verdana" w:hAnsi="Verdana"/>
          <w:sz w:val="20"/>
          <w:szCs w:val="20"/>
          <w:lang w:val="en-GB"/>
        </w:rPr>
        <w:t xml:space="preserve"> capital structure to grow the business.  Whilst the product tanker segment is showing signs of recovery</w:t>
      </w:r>
      <w:r w:rsidR="00512967">
        <w:rPr>
          <w:rFonts w:ascii="Verdana" w:hAnsi="Verdana"/>
          <w:sz w:val="20"/>
          <w:szCs w:val="20"/>
          <w:lang w:val="en-GB"/>
        </w:rPr>
        <w:t xml:space="preserve">, it </w:t>
      </w:r>
      <w:r>
        <w:rPr>
          <w:rFonts w:ascii="Verdana" w:hAnsi="Verdana"/>
          <w:sz w:val="20"/>
          <w:szCs w:val="20"/>
          <w:lang w:val="en-GB"/>
        </w:rPr>
        <w:t xml:space="preserve">is still fragile.  </w:t>
      </w:r>
    </w:p>
    <w:p w:rsidR="0066485A" w:rsidRDefault="0066485A" w:rsidP="0066485A">
      <w:pPr>
        <w:spacing w:after="0"/>
        <w:jc w:val="both"/>
        <w:rPr>
          <w:rFonts w:ascii="Verdana" w:hAnsi="Verdana"/>
          <w:sz w:val="20"/>
          <w:szCs w:val="20"/>
          <w:lang w:val="en-GB"/>
        </w:rPr>
      </w:pPr>
    </w:p>
    <w:p w:rsidR="0066485A" w:rsidRDefault="0066485A" w:rsidP="0066485A">
      <w:pPr>
        <w:spacing w:after="0"/>
        <w:jc w:val="both"/>
        <w:rPr>
          <w:rFonts w:ascii="Verdana" w:hAnsi="Verdana"/>
          <w:sz w:val="20"/>
          <w:szCs w:val="20"/>
          <w:lang w:val="en-GB"/>
        </w:rPr>
      </w:pPr>
      <w:r>
        <w:rPr>
          <w:rFonts w:ascii="Verdana" w:hAnsi="Verdana"/>
          <w:sz w:val="20"/>
          <w:szCs w:val="20"/>
          <w:lang w:val="en-GB"/>
        </w:rPr>
        <w:t>For 2014, the Group</w:t>
      </w:r>
      <w:r w:rsidR="003A523C">
        <w:rPr>
          <w:rFonts w:ascii="Verdana" w:hAnsi="Verdana"/>
          <w:sz w:val="20"/>
          <w:szCs w:val="20"/>
          <w:lang w:val="en-GB"/>
        </w:rPr>
        <w:t>’s 6 vessels are expected to</w:t>
      </w:r>
      <w:r>
        <w:rPr>
          <w:rFonts w:ascii="Verdana" w:hAnsi="Verdana"/>
          <w:sz w:val="20"/>
          <w:szCs w:val="20"/>
          <w:lang w:val="en-GB"/>
        </w:rPr>
        <w:t xml:space="preserve"> remain com</w:t>
      </w:r>
      <w:r w:rsidR="00B26F40">
        <w:rPr>
          <w:rFonts w:ascii="Verdana" w:hAnsi="Verdana"/>
          <w:sz w:val="20"/>
          <w:szCs w:val="20"/>
          <w:lang w:val="en-GB"/>
        </w:rPr>
        <w:t xml:space="preserve">mercially </w:t>
      </w:r>
      <w:r w:rsidR="00512967">
        <w:rPr>
          <w:rFonts w:ascii="Verdana" w:hAnsi="Verdana"/>
          <w:sz w:val="20"/>
          <w:szCs w:val="20"/>
          <w:lang w:val="en-GB"/>
        </w:rPr>
        <w:t xml:space="preserve">deployed on a pool basis. </w:t>
      </w:r>
      <w:r>
        <w:rPr>
          <w:rFonts w:ascii="Verdana" w:hAnsi="Verdana"/>
          <w:sz w:val="20"/>
          <w:szCs w:val="20"/>
          <w:lang w:val="en-GB"/>
        </w:rPr>
        <w:t>While rates in early 2014 have improved slightly compared to 2013, the TCE revenue from the 6 product tankers is expected to be in the region of USD 27</w:t>
      </w:r>
      <w:r w:rsidR="00512967">
        <w:rPr>
          <w:rFonts w:ascii="Verdana" w:hAnsi="Verdana"/>
          <w:sz w:val="20"/>
          <w:szCs w:val="20"/>
          <w:lang w:val="en-GB"/>
        </w:rPr>
        <w:t>.0</w:t>
      </w:r>
      <w:r>
        <w:rPr>
          <w:rFonts w:ascii="Verdana" w:hAnsi="Verdana"/>
          <w:sz w:val="20"/>
          <w:szCs w:val="20"/>
          <w:lang w:val="en-GB"/>
        </w:rPr>
        <w:t>–30</w:t>
      </w:r>
      <w:r w:rsidR="00512967">
        <w:rPr>
          <w:rFonts w:ascii="Verdana" w:hAnsi="Verdana"/>
          <w:sz w:val="20"/>
          <w:szCs w:val="20"/>
          <w:lang w:val="en-GB"/>
        </w:rPr>
        <w:t>.0</w:t>
      </w:r>
      <w:r>
        <w:rPr>
          <w:rFonts w:ascii="Verdana" w:hAnsi="Verdana"/>
          <w:sz w:val="20"/>
          <w:szCs w:val="20"/>
          <w:lang w:val="en-GB"/>
        </w:rPr>
        <w:t xml:space="preserve"> million.  </w:t>
      </w:r>
    </w:p>
    <w:p w:rsidR="0066485A" w:rsidRDefault="0066485A" w:rsidP="0066485A">
      <w:pPr>
        <w:spacing w:after="0"/>
        <w:jc w:val="both"/>
        <w:rPr>
          <w:rFonts w:ascii="Verdana" w:hAnsi="Verdana"/>
          <w:sz w:val="20"/>
          <w:szCs w:val="20"/>
          <w:lang w:val="en-GB"/>
        </w:rPr>
      </w:pPr>
    </w:p>
    <w:p w:rsidR="00C42F7B" w:rsidRDefault="0066485A" w:rsidP="0066485A">
      <w:pPr>
        <w:spacing w:after="0"/>
        <w:jc w:val="both"/>
        <w:rPr>
          <w:rFonts w:ascii="Verdana" w:hAnsi="Verdana"/>
          <w:sz w:val="20"/>
          <w:szCs w:val="20"/>
          <w:lang w:val="en-GB"/>
        </w:rPr>
      </w:pPr>
      <w:r>
        <w:rPr>
          <w:rFonts w:ascii="Verdana" w:hAnsi="Verdana"/>
          <w:sz w:val="20"/>
          <w:szCs w:val="20"/>
          <w:lang w:val="en-GB"/>
        </w:rPr>
        <w:t xml:space="preserve">2014 will also see the Group changing its technical manager </w:t>
      </w:r>
      <w:r w:rsidR="00512967">
        <w:rPr>
          <w:rFonts w:ascii="Verdana" w:hAnsi="Verdana"/>
          <w:sz w:val="20"/>
          <w:szCs w:val="20"/>
          <w:lang w:val="en-GB"/>
        </w:rPr>
        <w:t xml:space="preserve">such that </w:t>
      </w:r>
      <w:r>
        <w:rPr>
          <w:rFonts w:ascii="Verdana" w:hAnsi="Verdana"/>
          <w:sz w:val="20"/>
          <w:szCs w:val="20"/>
          <w:lang w:val="en-GB"/>
        </w:rPr>
        <w:t xml:space="preserve">2 </w:t>
      </w:r>
      <w:r w:rsidR="00512967">
        <w:rPr>
          <w:rFonts w:ascii="Verdana" w:hAnsi="Verdana"/>
          <w:sz w:val="20"/>
          <w:szCs w:val="20"/>
          <w:lang w:val="en-GB"/>
        </w:rPr>
        <w:t xml:space="preserve">new </w:t>
      </w:r>
      <w:r>
        <w:rPr>
          <w:rFonts w:ascii="Verdana" w:hAnsi="Verdana"/>
          <w:sz w:val="20"/>
          <w:szCs w:val="20"/>
          <w:lang w:val="en-GB"/>
        </w:rPr>
        <w:t>managers</w:t>
      </w:r>
      <w:r w:rsidR="00512967">
        <w:rPr>
          <w:rFonts w:ascii="Verdana" w:hAnsi="Verdana"/>
          <w:sz w:val="20"/>
          <w:szCs w:val="20"/>
          <w:lang w:val="en-GB"/>
        </w:rPr>
        <w:t xml:space="preserve"> will </w:t>
      </w:r>
      <w:r>
        <w:rPr>
          <w:rFonts w:ascii="Verdana" w:hAnsi="Verdana"/>
          <w:sz w:val="20"/>
          <w:szCs w:val="20"/>
          <w:lang w:val="en-GB"/>
        </w:rPr>
        <w:t>handl</w:t>
      </w:r>
      <w:r w:rsidR="00512967">
        <w:rPr>
          <w:rFonts w:ascii="Verdana" w:hAnsi="Verdana"/>
          <w:sz w:val="20"/>
          <w:szCs w:val="20"/>
          <w:lang w:val="en-GB"/>
        </w:rPr>
        <w:t>e</w:t>
      </w:r>
      <w:r>
        <w:rPr>
          <w:rFonts w:ascii="Verdana" w:hAnsi="Verdana"/>
          <w:sz w:val="20"/>
          <w:szCs w:val="20"/>
          <w:lang w:val="en-GB"/>
        </w:rPr>
        <w:t xml:space="preserve"> 3 vessels each.  This change will entail certain one-off costs and </w:t>
      </w:r>
      <w:r w:rsidR="00512967">
        <w:rPr>
          <w:rFonts w:ascii="Verdana" w:hAnsi="Verdana"/>
          <w:sz w:val="20"/>
          <w:szCs w:val="20"/>
          <w:lang w:val="en-GB"/>
        </w:rPr>
        <w:t xml:space="preserve">some </w:t>
      </w:r>
      <w:r>
        <w:rPr>
          <w:rFonts w:ascii="Verdana" w:hAnsi="Verdana"/>
          <w:sz w:val="20"/>
          <w:szCs w:val="20"/>
          <w:lang w:val="en-GB"/>
        </w:rPr>
        <w:t xml:space="preserve">loss of revenue </w:t>
      </w:r>
      <w:r w:rsidR="00512967">
        <w:rPr>
          <w:rFonts w:ascii="Verdana" w:hAnsi="Verdana"/>
          <w:sz w:val="20"/>
          <w:szCs w:val="20"/>
          <w:lang w:val="en-GB"/>
        </w:rPr>
        <w:t>resulting from the vessels’ loss of o</w:t>
      </w:r>
      <w:r>
        <w:rPr>
          <w:rFonts w:ascii="Verdana" w:hAnsi="Verdana"/>
          <w:sz w:val="20"/>
          <w:szCs w:val="20"/>
          <w:lang w:val="en-GB"/>
        </w:rPr>
        <w:t>il major vetting</w:t>
      </w:r>
      <w:r w:rsidR="00512967">
        <w:rPr>
          <w:rFonts w:ascii="Verdana" w:hAnsi="Verdana"/>
          <w:sz w:val="20"/>
          <w:szCs w:val="20"/>
          <w:lang w:val="en-GB"/>
        </w:rPr>
        <w:t xml:space="preserve"> approvals for a short time.  The B</w:t>
      </w:r>
      <w:r>
        <w:rPr>
          <w:rFonts w:ascii="Verdana" w:hAnsi="Verdana"/>
          <w:sz w:val="20"/>
          <w:szCs w:val="20"/>
          <w:lang w:val="en-GB"/>
        </w:rPr>
        <w:t xml:space="preserve">oard considers the change in the technical manager to be net positive for the Group in the longer term savings.  </w:t>
      </w:r>
    </w:p>
    <w:p w:rsidR="00C42F7B" w:rsidRDefault="00C42F7B" w:rsidP="0066485A">
      <w:pPr>
        <w:spacing w:after="0"/>
        <w:jc w:val="both"/>
        <w:rPr>
          <w:rFonts w:ascii="Verdana" w:hAnsi="Verdana"/>
          <w:sz w:val="20"/>
          <w:szCs w:val="20"/>
          <w:lang w:val="en-GB"/>
        </w:rPr>
      </w:pPr>
    </w:p>
    <w:p w:rsidR="0066485A" w:rsidRDefault="0066485A" w:rsidP="0066485A">
      <w:pPr>
        <w:spacing w:after="0"/>
        <w:jc w:val="both"/>
        <w:rPr>
          <w:rFonts w:ascii="Verdana" w:hAnsi="Verdana"/>
          <w:sz w:val="20"/>
          <w:szCs w:val="20"/>
          <w:lang w:val="en-GB"/>
        </w:rPr>
      </w:pPr>
      <w:r>
        <w:rPr>
          <w:rFonts w:ascii="Verdana" w:hAnsi="Verdana"/>
          <w:sz w:val="20"/>
          <w:szCs w:val="20"/>
          <w:lang w:val="en-GB"/>
        </w:rPr>
        <w:t xml:space="preserve">Taking the above into account, the Group expects EBITDA (earnings before interest, tax, depreciation and amortization) to be in the range of USD 9.0 – 12.0 million.  </w:t>
      </w:r>
      <w:r w:rsidR="004B6DFE">
        <w:rPr>
          <w:rFonts w:ascii="Verdana" w:hAnsi="Verdana"/>
          <w:sz w:val="20"/>
          <w:szCs w:val="20"/>
          <w:lang w:val="en-GB"/>
        </w:rPr>
        <w:t>Barring unforeseen circumstances, t</w:t>
      </w:r>
      <w:r>
        <w:rPr>
          <w:rFonts w:ascii="Verdana" w:hAnsi="Verdana"/>
          <w:sz w:val="20"/>
          <w:szCs w:val="20"/>
          <w:lang w:val="en-GB"/>
        </w:rPr>
        <w:t>he resu</w:t>
      </w:r>
      <w:r w:rsidR="00CA051D">
        <w:rPr>
          <w:rFonts w:ascii="Verdana" w:hAnsi="Verdana"/>
          <w:sz w:val="20"/>
          <w:szCs w:val="20"/>
          <w:lang w:val="en-GB"/>
        </w:rPr>
        <w:t xml:space="preserve">lt before tax is expected to reach an accounting breakeven with a result between </w:t>
      </w:r>
      <w:r>
        <w:rPr>
          <w:rFonts w:ascii="Verdana" w:hAnsi="Verdana"/>
          <w:sz w:val="20"/>
          <w:szCs w:val="20"/>
          <w:lang w:val="en-GB"/>
        </w:rPr>
        <w:t xml:space="preserve">USD </w:t>
      </w:r>
      <w:r w:rsidR="00CA051D">
        <w:rPr>
          <w:rFonts w:ascii="Verdana" w:hAnsi="Verdana"/>
          <w:sz w:val="20"/>
          <w:szCs w:val="20"/>
          <w:lang w:val="en-GB"/>
        </w:rPr>
        <w:t>-</w:t>
      </w:r>
      <w:r>
        <w:rPr>
          <w:rFonts w:ascii="Verdana" w:hAnsi="Verdana"/>
          <w:sz w:val="20"/>
          <w:szCs w:val="20"/>
          <w:lang w:val="en-GB"/>
        </w:rPr>
        <w:t>2.0 million</w:t>
      </w:r>
      <w:r w:rsidR="00CA051D">
        <w:rPr>
          <w:rFonts w:ascii="Verdana" w:hAnsi="Verdana"/>
          <w:sz w:val="20"/>
          <w:szCs w:val="20"/>
          <w:lang w:val="en-GB"/>
        </w:rPr>
        <w:t xml:space="preserve"> and</w:t>
      </w:r>
      <w:r>
        <w:rPr>
          <w:rFonts w:ascii="Verdana" w:hAnsi="Verdana"/>
          <w:sz w:val="20"/>
          <w:szCs w:val="20"/>
          <w:lang w:val="en-GB"/>
        </w:rPr>
        <w:t xml:space="preserve"> USD 1.0 million before any write-downs on vessels.  The Group does not expect any write-downs of vessels’ carrying value unless significant weakness in the </w:t>
      </w:r>
      <w:r w:rsidR="00C42F7B">
        <w:rPr>
          <w:rFonts w:ascii="Verdana" w:hAnsi="Verdana"/>
          <w:sz w:val="20"/>
          <w:szCs w:val="20"/>
          <w:lang w:val="en-GB"/>
        </w:rPr>
        <w:t xml:space="preserve">product tanker </w:t>
      </w:r>
      <w:r>
        <w:rPr>
          <w:rFonts w:ascii="Verdana" w:hAnsi="Verdana"/>
          <w:sz w:val="20"/>
          <w:szCs w:val="20"/>
          <w:lang w:val="en-GB"/>
        </w:rPr>
        <w:t>sector sets in.</w:t>
      </w:r>
    </w:p>
    <w:p w:rsidR="0066485A" w:rsidRDefault="0066485A" w:rsidP="0066485A">
      <w:pPr>
        <w:spacing w:after="0"/>
        <w:jc w:val="both"/>
        <w:rPr>
          <w:rFonts w:ascii="Verdana" w:hAnsi="Verdana"/>
          <w:sz w:val="20"/>
          <w:szCs w:val="20"/>
          <w:lang w:val="en-GB"/>
        </w:rPr>
      </w:pPr>
    </w:p>
    <w:p w:rsidR="0066485A" w:rsidRDefault="0066485A" w:rsidP="0066485A">
      <w:pPr>
        <w:spacing w:after="0"/>
        <w:jc w:val="both"/>
        <w:rPr>
          <w:rFonts w:ascii="Verdana" w:hAnsi="Verdana"/>
          <w:sz w:val="20"/>
          <w:szCs w:val="20"/>
          <w:lang w:val="en-GB"/>
        </w:rPr>
      </w:pPr>
      <w:r>
        <w:rPr>
          <w:rFonts w:ascii="Verdana" w:hAnsi="Verdana"/>
          <w:sz w:val="20"/>
          <w:szCs w:val="20"/>
          <w:lang w:val="en-GB"/>
        </w:rPr>
        <w:t>In terms of cash flow, there is no amortisation of the long-term loan in 2014.  However, the short-term working capital will mature in December 2014.  The Group’s net operating cash flows and receipt of certain insurance receivables will be used to pay off this short-term debt.  The Group’s cash flows is expected to be between USD -1.0 million and USD 2.0 million, prior to any cash sweep</w:t>
      </w:r>
      <w:r w:rsidR="00034D03">
        <w:rPr>
          <w:rFonts w:ascii="Verdana" w:hAnsi="Verdana"/>
          <w:sz w:val="20"/>
          <w:szCs w:val="20"/>
          <w:lang w:val="en-GB"/>
        </w:rPr>
        <w:t xml:space="preserve"> to the lending banks</w:t>
      </w:r>
      <w:r>
        <w:rPr>
          <w:rFonts w:ascii="Verdana" w:hAnsi="Verdana"/>
          <w:sz w:val="20"/>
          <w:szCs w:val="20"/>
          <w:lang w:val="en-GB"/>
        </w:rPr>
        <w:t xml:space="preserve">.  Under the new </w:t>
      </w:r>
      <w:r w:rsidR="00034D03">
        <w:rPr>
          <w:rFonts w:ascii="Verdana" w:hAnsi="Verdana"/>
          <w:sz w:val="20"/>
          <w:szCs w:val="20"/>
          <w:lang w:val="en-GB"/>
        </w:rPr>
        <w:t>loan arrangement with the lending bank</w:t>
      </w:r>
      <w:r>
        <w:rPr>
          <w:rFonts w:ascii="Verdana" w:hAnsi="Verdana"/>
          <w:sz w:val="20"/>
          <w:szCs w:val="20"/>
          <w:lang w:val="en-GB"/>
        </w:rPr>
        <w:t>s, cash in excess of USD 6</w:t>
      </w:r>
      <w:r w:rsidR="000E441E">
        <w:rPr>
          <w:rFonts w:ascii="Verdana" w:hAnsi="Verdana"/>
          <w:sz w:val="20"/>
          <w:szCs w:val="20"/>
          <w:lang w:val="en-GB"/>
        </w:rPr>
        <w:t>.0</w:t>
      </w:r>
      <w:r>
        <w:rPr>
          <w:rFonts w:ascii="Verdana" w:hAnsi="Verdana"/>
          <w:sz w:val="20"/>
          <w:szCs w:val="20"/>
          <w:lang w:val="en-GB"/>
        </w:rPr>
        <w:t xml:space="preserve"> million will be used to pay down the long-term facility.  No cash sweep is expected in 2014 except for approximately USD 1</w:t>
      </w:r>
      <w:r w:rsidR="000E441E">
        <w:rPr>
          <w:rFonts w:ascii="Verdana" w:hAnsi="Verdana"/>
          <w:sz w:val="20"/>
          <w:szCs w:val="20"/>
          <w:lang w:val="en-GB"/>
        </w:rPr>
        <w:t>.0</w:t>
      </w:r>
      <w:r>
        <w:rPr>
          <w:rFonts w:ascii="Verdana" w:hAnsi="Verdana"/>
          <w:sz w:val="20"/>
          <w:szCs w:val="20"/>
          <w:lang w:val="en-GB"/>
        </w:rPr>
        <w:t xml:space="preserve"> million as at 31 December 2014</w:t>
      </w:r>
    </w:p>
    <w:p w:rsidR="0066485A" w:rsidRDefault="0066485A" w:rsidP="0066485A">
      <w:pPr>
        <w:spacing w:after="0"/>
        <w:jc w:val="both"/>
        <w:rPr>
          <w:rFonts w:ascii="Verdana" w:hAnsi="Verdana"/>
          <w:sz w:val="20"/>
          <w:szCs w:val="20"/>
          <w:lang w:val="en-GB"/>
        </w:rPr>
      </w:pPr>
    </w:p>
    <w:p w:rsidR="0066485A" w:rsidRDefault="0066485A" w:rsidP="0066485A">
      <w:pPr>
        <w:spacing w:after="0"/>
        <w:jc w:val="both"/>
        <w:rPr>
          <w:rFonts w:ascii="Verdana" w:hAnsi="Verdana"/>
          <w:sz w:val="20"/>
          <w:szCs w:val="20"/>
          <w:lang w:val="en-GB"/>
        </w:rPr>
      </w:pPr>
      <w:r>
        <w:rPr>
          <w:rFonts w:ascii="Verdana" w:hAnsi="Verdana"/>
          <w:sz w:val="20"/>
          <w:szCs w:val="20"/>
          <w:lang w:val="en-GB"/>
        </w:rPr>
        <w:t xml:space="preserve">Post restructuring, the </w:t>
      </w:r>
      <w:r w:rsidR="00512967">
        <w:rPr>
          <w:rFonts w:ascii="Verdana" w:hAnsi="Verdana"/>
          <w:sz w:val="20"/>
          <w:szCs w:val="20"/>
          <w:lang w:val="en-GB"/>
        </w:rPr>
        <w:t>B</w:t>
      </w:r>
      <w:r>
        <w:rPr>
          <w:rFonts w:ascii="Verdana" w:hAnsi="Verdana"/>
          <w:sz w:val="20"/>
          <w:szCs w:val="20"/>
          <w:lang w:val="en-GB"/>
        </w:rPr>
        <w:t xml:space="preserve">oard </w:t>
      </w:r>
      <w:r w:rsidR="00512967">
        <w:rPr>
          <w:rFonts w:ascii="Verdana" w:hAnsi="Verdana"/>
          <w:sz w:val="20"/>
          <w:szCs w:val="20"/>
          <w:lang w:val="en-GB"/>
        </w:rPr>
        <w:t>considers Nordic Shipholding an attractive platform for</w:t>
      </w:r>
      <w:r>
        <w:rPr>
          <w:rFonts w:ascii="Verdana" w:hAnsi="Verdana"/>
          <w:sz w:val="20"/>
          <w:szCs w:val="20"/>
          <w:lang w:val="en-GB"/>
        </w:rPr>
        <w:t xml:space="preserve"> grow</w:t>
      </w:r>
      <w:r w:rsidR="00512967">
        <w:rPr>
          <w:rFonts w:ascii="Verdana" w:hAnsi="Verdana"/>
          <w:sz w:val="20"/>
          <w:szCs w:val="20"/>
          <w:lang w:val="en-GB"/>
        </w:rPr>
        <w:t>th</w:t>
      </w:r>
      <w:r>
        <w:rPr>
          <w:rFonts w:ascii="Verdana" w:hAnsi="Verdana"/>
          <w:sz w:val="20"/>
          <w:szCs w:val="20"/>
          <w:lang w:val="en-GB"/>
        </w:rPr>
        <w:t xml:space="preserve"> and in the coming year, </w:t>
      </w:r>
      <w:r w:rsidR="004828C2">
        <w:rPr>
          <w:rFonts w:ascii="Verdana" w:hAnsi="Verdana"/>
          <w:sz w:val="20"/>
          <w:szCs w:val="20"/>
          <w:lang w:val="en-GB"/>
        </w:rPr>
        <w:t xml:space="preserve">we </w:t>
      </w:r>
      <w:r>
        <w:rPr>
          <w:rFonts w:ascii="Verdana" w:hAnsi="Verdana"/>
          <w:sz w:val="20"/>
          <w:szCs w:val="20"/>
          <w:lang w:val="en-GB"/>
        </w:rPr>
        <w:t>will seek and assess suitable investment opportunities in the product tanker segment to expand the Company.</w:t>
      </w:r>
    </w:p>
    <w:p w:rsidR="003D4A50" w:rsidRPr="00BD2C69" w:rsidRDefault="003D4A50" w:rsidP="003D4A50">
      <w:pPr>
        <w:pStyle w:val="Heading1"/>
        <w:rPr>
          <w:rFonts w:ascii="Verdana" w:hAnsi="Verdana"/>
          <w:color w:val="auto"/>
          <w:sz w:val="20"/>
          <w:szCs w:val="20"/>
        </w:rPr>
      </w:pPr>
      <w:r w:rsidRPr="00BD2C69">
        <w:rPr>
          <w:rFonts w:ascii="Verdana" w:hAnsi="Verdana"/>
          <w:color w:val="auto"/>
          <w:sz w:val="20"/>
          <w:szCs w:val="20"/>
        </w:rPr>
        <w:t>Forward-looking statements</w:t>
      </w:r>
    </w:p>
    <w:p w:rsidR="003D4A50" w:rsidRPr="00BD2C69" w:rsidRDefault="003D4A50" w:rsidP="00BD2C69">
      <w:pPr>
        <w:jc w:val="both"/>
        <w:rPr>
          <w:rFonts w:ascii="Verdana" w:hAnsi="Verdana"/>
          <w:sz w:val="20"/>
          <w:szCs w:val="20"/>
        </w:rPr>
      </w:pPr>
      <w:r w:rsidRPr="00BD2C69">
        <w:rPr>
          <w:rFonts w:ascii="Verdana" w:hAnsi="Verdana" w:cs="TT188t00"/>
          <w:sz w:val="20"/>
          <w:szCs w:val="20"/>
        </w:rPr>
        <w:t xml:space="preserve">This report contains forward-looking statements reflecting Nordic Shipholding’s current beliefs concerning future events. </w:t>
      </w:r>
      <w:r>
        <w:rPr>
          <w:rFonts w:ascii="Verdana" w:hAnsi="Verdana" w:cs="TT188t00"/>
          <w:sz w:val="20"/>
          <w:szCs w:val="20"/>
        </w:rPr>
        <w:t xml:space="preserve"> </w:t>
      </w:r>
      <w:r w:rsidRPr="00BD2C69">
        <w:rPr>
          <w:rFonts w:ascii="Verdana" w:hAnsi="Verdana" w:cs="TT188t00"/>
          <w:sz w:val="20"/>
          <w:szCs w:val="20"/>
        </w:rPr>
        <w:t xml:space="preserve">Forward-looking statements are inherently subject to uncertainty, and Nordic Shipholding’s actual results may thus differ significantly from expectations. </w:t>
      </w:r>
      <w:r>
        <w:rPr>
          <w:rFonts w:ascii="Verdana" w:hAnsi="Verdana" w:cs="TT188t00"/>
          <w:sz w:val="20"/>
          <w:szCs w:val="20"/>
        </w:rPr>
        <w:t xml:space="preserve"> </w:t>
      </w:r>
      <w:r w:rsidRPr="00BD2C69">
        <w:rPr>
          <w:rFonts w:ascii="Verdana" w:hAnsi="Verdana" w:cs="TT188t00"/>
          <w:sz w:val="20"/>
          <w:szCs w:val="20"/>
        </w:rPr>
        <w:t>Factors which could cause actual results to deviate from the expectations include, but are not limited to, changes in macroeconomic, regulatory and political</w:t>
      </w:r>
      <w:r w:rsidR="002132EF">
        <w:rPr>
          <w:rFonts w:ascii="Verdana" w:hAnsi="Verdana" w:cs="TT188t00"/>
          <w:sz w:val="20"/>
          <w:szCs w:val="20"/>
        </w:rPr>
        <w:t xml:space="preserve"> conditions, especially on the C</w:t>
      </w:r>
      <w:r w:rsidRPr="00BD2C69">
        <w:rPr>
          <w:rFonts w:ascii="Verdana" w:hAnsi="Verdana" w:cs="TT188t00"/>
          <w:sz w:val="20"/>
          <w:szCs w:val="20"/>
        </w:rPr>
        <w:t>ompany’s main markets, changes in currency exchange rates, freight rates, operating expenses and vessel prices as well as possible disruptions of traffic and operations resulting from outside events.</w:t>
      </w:r>
    </w:p>
    <w:p w:rsidR="000E441E" w:rsidRPr="000E441E" w:rsidRDefault="000E441E" w:rsidP="000E441E">
      <w:pPr>
        <w:rPr>
          <w:lang w:val="en-GB" w:eastAsia="da-DK"/>
        </w:rPr>
      </w:pPr>
    </w:p>
    <w:p w:rsidR="004E41E9" w:rsidRDefault="004E41E9" w:rsidP="00D23D11">
      <w:pPr>
        <w:pStyle w:val="Heading1"/>
        <w:rPr>
          <w:rFonts w:ascii="Verdana" w:hAnsi="Verdana"/>
          <w:color w:val="17365D" w:themeColor="text2" w:themeShade="BF"/>
          <w:sz w:val="40"/>
          <w:szCs w:val="20"/>
          <w:lang w:val="en-GB"/>
        </w:rPr>
      </w:pPr>
    </w:p>
    <w:p w:rsidR="00261052" w:rsidRPr="006265A3" w:rsidRDefault="00261052" w:rsidP="006265A3">
      <w:pPr>
        <w:rPr>
          <w:lang w:val="en-GB" w:eastAsia="da-DK"/>
        </w:rPr>
      </w:pPr>
    </w:p>
    <w:p w:rsidR="004E41E9" w:rsidRPr="00EF3F29" w:rsidRDefault="00CF62FE" w:rsidP="004E41E9">
      <w:pPr>
        <w:pStyle w:val="Heading1"/>
        <w:rPr>
          <w:rFonts w:ascii="Verdana" w:hAnsi="Verdana"/>
          <w:color w:val="auto"/>
          <w:sz w:val="20"/>
          <w:szCs w:val="20"/>
          <w:lang w:val="en-GB"/>
        </w:rPr>
      </w:pPr>
      <w:bookmarkStart w:id="4" w:name="_Toc320195184"/>
      <w:bookmarkEnd w:id="3"/>
      <w:r>
        <w:rPr>
          <w:rFonts w:ascii="Verdana" w:hAnsi="Verdana"/>
          <w:color w:val="17365D" w:themeColor="text2" w:themeShade="BF"/>
          <w:sz w:val="40"/>
          <w:szCs w:val="20"/>
          <w:lang w:val="en-GB"/>
        </w:rPr>
        <w:lastRenderedPageBreak/>
        <w:t>Financial R</w:t>
      </w:r>
      <w:r w:rsidR="004E41E9" w:rsidRPr="00D23D11">
        <w:rPr>
          <w:rFonts w:ascii="Verdana" w:hAnsi="Verdana"/>
          <w:color w:val="17365D" w:themeColor="text2" w:themeShade="BF"/>
          <w:sz w:val="40"/>
          <w:szCs w:val="20"/>
          <w:lang w:val="en-GB"/>
        </w:rPr>
        <w:t>eview 201</w:t>
      </w:r>
      <w:r w:rsidR="004E41E9">
        <w:rPr>
          <w:rFonts w:ascii="Verdana" w:hAnsi="Verdana"/>
          <w:color w:val="17365D" w:themeColor="text2" w:themeShade="BF"/>
          <w:sz w:val="40"/>
          <w:szCs w:val="20"/>
          <w:lang w:val="en-GB"/>
        </w:rPr>
        <w:t>3</w:t>
      </w:r>
    </w:p>
    <w:p w:rsidR="004E41E9" w:rsidRPr="00EF3F29" w:rsidRDefault="004E41E9" w:rsidP="004E41E9">
      <w:pPr>
        <w:jc w:val="both"/>
        <w:rPr>
          <w:rFonts w:ascii="Verdana" w:hAnsi="Verdana"/>
          <w:color w:val="FF0000"/>
          <w:sz w:val="20"/>
          <w:szCs w:val="20"/>
          <w:lang w:val="en-GB"/>
        </w:rPr>
      </w:pPr>
    </w:p>
    <w:p w:rsidR="00672CCC" w:rsidRPr="00EF3F29" w:rsidRDefault="00672CCC" w:rsidP="00672CCC">
      <w:pPr>
        <w:autoSpaceDE w:val="0"/>
        <w:autoSpaceDN w:val="0"/>
        <w:adjustRightInd w:val="0"/>
        <w:jc w:val="both"/>
        <w:rPr>
          <w:rFonts w:ascii="Verdana" w:hAnsi="Verdana" w:cs="Frutiger-Light"/>
          <w:b/>
          <w:sz w:val="20"/>
          <w:szCs w:val="20"/>
          <w:lang w:val="en-GB"/>
        </w:rPr>
      </w:pPr>
      <w:r w:rsidRPr="00EF3F29">
        <w:rPr>
          <w:rFonts w:ascii="Verdana" w:hAnsi="Verdana" w:cs="Frutiger-Light"/>
          <w:b/>
          <w:sz w:val="20"/>
          <w:szCs w:val="20"/>
          <w:lang w:val="en-GB"/>
        </w:rPr>
        <w:t>Financial highlights of the Group in 201</w:t>
      </w:r>
      <w:r>
        <w:rPr>
          <w:rFonts w:ascii="Verdana" w:hAnsi="Verdana" w:cs="Frutiger-Light"/>
          <w:b/>
          <w:sz w:val="20"/>
          <w:szCs w:val="20"/>
          <w:lang w:val="en-GB"/>
        </w:rPr>
        <w:t>3</w:t>
      </w:r>
      <w:r w:rsidRPr="00EF3F29">
        <w:rPr>
          <w:rFonts w:ascii="Verdana" w:hAnsi="Verdana" w:cs="Frutiger-Light"/>
          <w:b/>
          <w:sz w:val="20"/>
          <w:szCs w:val="20"/>
          <w:lang w:val="en-GB"/>
        </w:rPr>
        <w:t xml:space="preserve"> (201</w:t>
      </w:r>
      <w:r>
        <w:rPr>
          <w:rFonts w:ascii="Verdana" w:hAnsi="Verdana" w:cs="Frutiger-Light"/>
          <w:b/>
          <w:sz w:val="20"/>
          <w:szCs w:val="20"/>
          <w:lang w:val="en-GB"/>
        </w:rPr>
        <w:t>2</w:t>
      </w:r>
      <w:r w:rsidRPr="00EF3F29">
        <w:rPr>
          <w:rFonts w:ascii="Verdana" w:hAnsi="Verdana" w:cs="Frutiger-Light"/>
          <w:b/>
          <w:sz w:val="20"/>
          <w:szCs w:val="20"/>
          <w:lang w:val="en-GB"/>
        </w:rPr>
        <w:t xml:space="preserve"> figures in </w:t>
      </w:r>
      <w:r>
        <w:rPr>
          <w:rFonts w:ascii="Verdana" w:hAnsi="Verdana" w:cs="Frutiger-Light"/>
          <w:b/>
          <w:sz w:val="20"/>
          <w:szCs w:val="20"/>
          <w:lang w:val="en-GB"/>
        </w:rPr>
        <w:t>brackets)</w:t>
      </w:r>
    </w:p>
    <w:p w:rsidR="00672CCC" w:rsidRPr="00E76AAD" w:rsidRDefault="00672CCC" w:rsidP="00672CCC">
      <w:pPr>
        <w:spacing w:after="0"/>
        <w:jc w:val="both"/>
        <w:rPr>
          <w:rFonts w:ascii="Verdana" w:hAnsi="Verdana"/>
          <w:sz w:val="20"/>
          <w:szCs w:val="20"/>
          <w:lang w:val="en-GB"/>
        </w:rPr>
      </w:pPr>
      <w:r>
        <w:rPr>
          <w:rFonts w:ascii="Verdana" w:hAnsi="Verdana"/>
          <w:sz w:val="20"/>
          <w:szCs w:val="20"/>
          <w:lang w:val="en-GB"/>
        </w:rPr>
        <w:t>The Group reported a net result</w:t>
      </w:r>
      <w:r w:rsidRPr="00EF3F29">
        <w:rPr>
          <w:rFonts w:ascii="Verdana" w:hAnsi="Verdana"/>
          <w:sz w:val="20"/>
          <w:szCs w:val="20"/>
          <w:lang w:val="en-GB"/>
        </w:rPr>
        <w:t xml:space="preserve"> of USD</w:t>
      </w:r>
      <w:r>
        <w:rPr>
          <w:rFonts w:ascii="Verdana" w:hAnsi="Verdana"/>
          <w:sz w:val="20"/>
          <w:szCs w:val="20"/>
          <w:lang w:val="en-GB"/>
        </w:rPr>
        <w:t xml:space="preserve"> 19.4 million</w:t>
      </w:r>
      <w:r w:rsidRPr="00EF3F29">
        <w:rPr>
          <w:rFonts w:ascii="Verdana" w:hAnsi="Verdana"/>
          <w:sz w:val="20"/>
          <w:szCs w:val="20"/>
          <w:lang w:val="en-GB"/>
        </w:rPr>
        <w:t xml:space="preserve"> for 201</w:t>
      </w:r>
      <w:r>
        <w:rPr>
          <w:rFonts w:ascii="Verdana" w:hAnsi="Verdana"/>
          <w:sz w:val="20"/>
          <w:szCs w:val="20"/>
          <w:lang w:val="en-GB"/>
        </w:rPr>
        <w:t>3</w:t>
      </w:r>
      <w:r w:rsidRPr="00EF3F29">
        <w:rPr>
          <w:rFonts w:ascii="Verdana" w:hAnsi="Verdana"/>
          <w:sz w:val="20"/>
          <w:szCs w:val="20"/>
          <w:lang w:val="en-GB"/>
        </w:rPr>
        <w:t xml:space="preserve"> (USD </w:t>
      </w:r>
      <w:r>
        <w:rPr>
          <w:rFonts w:ascii="Verdana" w:hAnsi="Verdana"/>
          <w:sz w:val="20"/>
          <w:szCs w:val="20"/>
          <w:lang w:val="en-GB"/>
        </w:rPr>
        <w:t>-64.3</w:t>
      </w:r>
      <w:r w:rsidRPr="00EF3F29">
        <w:rPr>
          <w:rFonts w:ascii="Verdana" w:hAnsi="Verdana"/>
          <w:sz w:val="20"/>
          <w:szCs w:val="20"/>
          <w:lang w:val="en-GB"/>
        </w:rPr>
        <w:t xml:space="preserve"> million</w:t>
      </w:r>
      <w:r w:rsidR="006265A3">
        <w:rPr>
          <w:rFonts w:ascii="Verdana" w:hAnsi="Verdana"/>
          <w:sz w:val="20"/>
          <w:szCs w:val="20"/>
          <w:lang w:val="en-GB"/>
        </w:rPr>
        <w:t>)</w:t>
      </w:r>
      <w:r w:rsidRPr="00DB56AA">
        <w:rPr>
          <w:rFonts w:ascii="Verdana" w:hAnsi="Verdana" w:cstheme="minorHAnsi"/>
          <w:sz w:val="20"/>
          <w:szCs w:val="20"/>
          <w:lang w:val="en-GB"/>
        </w:rPr>
        <w:t>.</w:t>
      </w:r>
      <w:r w:rsidRPr="00DB56AA">
        <w:rPr>
          <w:rFonts w:ascii="Verdana" w:hAnsi="Verdana"/>
          <w:sz w:val="20"/>
          <w:szCs w:val="20"/>
          <w:lang w:val="en-GB"/>
        </w:rPr>
        <w:t xml:space="preserve">  This is after accounting for a one-off gain from restructuring of USD 28.</w:t>
      </w:r>
      <w:r>
        <w:rPr>
          <w:rFonts w:ascii="Verdana" w:hAnsi="Verdana"/>
          <w:sz w:val="20"/>
          <w:szCs w:val="20"/>
          <w:lang w:val="en-GB"/>
        </w:rPr>
        <w:t>6</w:t>
      </w:r>
      <w:r w:rsidRPr="00DB56AA">
        <w:rPr>
          <w:rFonts w:ascii="Verdana" w:hAnsi="Verdana"/>
          <w:sz w:val="20"/>
          <w:szCs w:val="20"/>
          <w:lang w:val="en-GB"/>
        </w:rPr>
        <w:t xml:space="preserve"> million.  Excluding this gain, the Group’</w:t>
      </w:r>
      <w:r w:rsidR="004F2E6B">
        <w:rPr>
          <w:rFonts w:ascii="Verdana" w:hAnsi="Verdana"/>
          <w:sz w:val="20"/>
          <w:szCs w:val="20"/>
          <w:lang w:val="en-GB"/>
        </w:rPr>
        <w:t>s incurred a net loss of USD 9.1</w:t>
      </w:r>
      <w:r w:rsidRPr="00DB56AA">
        <w:rPr>
          <w:rFonts w:ascii="Verdana" w:hAnsi="Verdana"/>
          <w:sz w:val="20"/>
          <w:szCs w:val="20"/>
          <w:lang w:val="en-GB"/>
        </w:rPr>
        <w:t xml:space="preserve"> million in 2013</w:t>
      </w:r>
      <w:r w:rsidRPr="004F2E6B">
        <w:rPr>
          <w:rFonts w:ascii="Verdana" w:hAnsi="Verdana"/>
          <w:sz w:val="20"/>
          <w:szCs w:val="20"/>
          <w:lang w:val="en-GB"/>
        </w:rPr>
        <w:t>.</w:t>
      </w:r>
    </w:p>
    <w:p w:rsidR="00672CCC" w:rsidRPr="00EF3F29" w:rsidRDefault="00672CCC" w:rsidP="00672CCC">
      <w:pPr>
        <w:spacing w:after="0"/>
        <w:jc w:val="both"/>
        <w:rPr>
          <w:rFonts w:ascii="Verdana" w:hAnsi="Verdana"/>
          <w:sz w:val="20"/>
          <w:szCs w:val="20"/>
          <w:lang w:val="en-GB"/>
        </w:rPr>
      </w:pPr>
    </w:p>
    <w:p w:rsidR="00672CCC" w:rsidRPr="00EF3F29" w:rsidRDefault="00672CCC" w:rsidP="00672CCC">
      <w:pPr>
        <w:spacing w:after="0"/>
        <w:jc w:val="both"/>
        <w:rPr>
          <w:rFonts w:ascii="Verdana" w:hAnsi="Verdana"/>
          <w:color w:val="FF0000"/>
          <w:sz w:val="20"/>
          <w:szCs w:val="20"/>
          <w:lang w:val="en-GB"/>
        </w:rPr>
      </w:pPr>
      <w:r>
        <w:rPr>
          <w:rFonts w:ascii="Verdana" w:hAnsi="Verdana"/>
          <w:sz w:val="20"/>
          <w:szCs w:val="20"/>
          <w:lang w:val="en-GB"/>
        </w:rPr>
        <w:t>Gross revenue generated in 2013 reached USD 60.0 million (USD 57.3 million), resulting in a TCE revenue of USD 25.9 million (USD 26.4 million).</w:t>
      </w:r>
      <w:r w:rsidR="004F2E6B">
        <w:rPr>
          <w:rFonts w:ascii="Verdana" w:hAnsi="Verdana"/>
          <w:sz w:val="20"/>
          <w:szCs w:val="20"/>
          <w:lang w:val="en-GB"/>
        </w:rPr>
        <w:t xml:space="preserve"> </w:t>
      </w:r>
      <w:r w:rsidRPr="00EF3F29">
        <w:rPr>
          <w:rFonts w:ascii="Verdana" w:hAnsi="Verdana"/>
          <w:sz w:val="20"/>
          <w:szCs w:val="20"/>
          <w:lang w:val="en-GB"/>
        </w:rPr>
        <w:t>EBITDA (earnings before depreciation, amortisation, interest and tax) amounted to USD</w:t>
      </w:r>
      <w:r>
        <w:rPr>
          <w:rFonts w:ascii="Verdana" w:hAnsi="Verdana"/>
          <w:sz w:val="20"/>
          <w:szCs w:val="20"/>
          <w:lang w:val="en-GB"/>
        </w:rPr>
        <w:t xml:space="preserve"> 3.6 million </w:t>
      </w:r>
      <w:r w:rsidRPr="00EF3F29">
        <w:rPr>
          <w:rFonts w:ascii="Verdana" w:hAnsi="Verdana"/>
          <w:sz w:val="20"/>
          <w:szCs w:val="20"/>
          <w:lang w:val="en-GB"/>
        </w:rPr>
        <w:t xml:space="preserve">(USD </w:t>
      </w:r>
      <w:r w:rsidRPr="001E0E6A">
        <w:rPr>
          <w:rFonts w:ascii="Verdana" w:hAnsi="Verdana"/>
          <w:sz w:val="20"/>
          <w:szCs w:val="20"/>
          <w:lang w:val="en-GB"/>
        </w:rPr>
        <w:t xml:space="preserve">6.5 </w:t>
      </w:r>
      <w:r w:rsidRPr="00EF3F29">
        <w:rPr>
          <w:rFonts w:ascii="Verdana" w:hAnsi="Verdana"/>
          <w:sz w:val="20"/>
          <w:szCs w:val="20"/>
          <w:lang w:val="en-GB"/>
        </w:rPr>
        <w:t>million)</w:t>
      </w:r>
      <w:r>
        <w:rPr>
          <w:rFonts w:ascii="Verdana" w:hAnsi="Verdana"/>
          <w:sz w:val="20"/>
          <w:szCs w:val="20"/>
          <w:lang w:val="en-GB"/>
        </w:rPr>
        <w:t xml:space="preserve"> and after accounting for depreciation, the Group made a net operating loss of USD 2.0 million (USD -40.8 million after accounting for USD 39.7 million in write-downs).</w:t>
      </w:r>
    </w:p>
    <w:p w:rsidR="00672CCC" w:rsidRPr="00EF3F29" w:rsidRDefault="00672CCC" w:rsidP="00672CCC">
      <w:pPr>
        <w:spacing w:after="0"/>
        <w:jc w:val="both"/>
        <w:rPr>
          <w:rFonts w:ascii="Verdana" w:hAnsi="Verdana"/>
          <w:sz w:val="20"/>
          <w:szCs w:val="20"/>
          <w:lang w:val="en-GB"/>
        </w:rPr>
      </w:pPr>
    </w:p>
    <w:p w:rsidR="00672CCC" w:rsidRDefault="00672CCC" w:rsidP="00F72D42">
      <w:pPr>
        <w:spacing w:after="0"/>
        <w:jc w:val="both"/>
        <w:rPr>
          <w:rFonts w:ascii="Verdana" w:hAnsi="Verdana"/>
          <w:sz w:val="20"/>
          <w:szCs w:val="20"/>
          <w:lang w:val="en-GB"/>
        </w:rPr>
      </w:pPr>
      <w:r>
        <w:rPr>
          <w:rFonts w:ascii="Verdana" w:hAnsi="Verdana"/>
          <w:sz w:val="20"/>
          <w:szCs w:val="20"/>
          <w:lang w:val="en-GB"/>
        </w:rPr>
        <w:t>The Group’s book equity turn</w:t>
      </w:r>
      <w:r w:rsidR="006265A3">
        <w:rPr>
          <w:rFonts w:ascii="Verdana" w:hAnsi="Verdana"/>
          <w:sz w:val="20"/>
          <w:szCs w:val="20"/>
          <w:lang w:val="en-GB"/>
        </w:rPr>
        <w:t xml:space="preserve">ed </w:t>
      </w:r>
      <w:r>
        <w:rPr>
          <w:rFonts w:ascii="Verdana" w:hAnsi="Verdana"/>
          <w:sz w:val="20"/>
          <w:szCs w:val="20"/>
          <w:lang w:val="en-GB"/>
        </w:rPr>
        <w:t xml:space="preserve">around from </w:t>
      </w:r>
      <w:r w:rsidRPr="00EF3F29">
        <w:rPr>
          <w:rFonts w:ascii="Verdana" w:hAnsi="Verdana"/>
          <w:sz w:val="20"/>
          <w:szCs w:val="20"/>
          <w:lang w:val="en-GB"/>
        </w:rPr>
        <w:t xml:space="preserve">USD </w:t>
      </w:r>
      <w:r>
        <w:rPr>
          <w:rFonts w:ascii="Verdana" w:hAnsi="Verdana"/>
          <w:sz w:val="20"/>
          <w:szCs w:val="20"/>
          <w:lang w:val="en-GB"/>
        </w:rPr>
        <w:t>-37.4</w:t>
      </w:r>
      <w:r w:rsidRPr="00EF3F29">
        <w:rPr>
          <w:rFonts w:ascii="Verdana" w:hAnsi="Verdana"/>
          <w:sz w:val="20"/>
          <w:szCs w:val="20"/>
          <w:lang w:val="en-GB"/>
        </w:rPr>
        <w:t xml:space="preserve"> </w:t>
      </w:r>
      <w:r>
        <w:rPr>
          <w:rFonts w:ascii="Verdana" w:hAnsi="Verdana"/>
          <w:sz w:val="20"/>
          <w:szCs w:val="20"/>
          <w:lang w:val="en-GB"/>
        </w:rPr>
        <w:t>million as at 31 December 2012 to USD 28.2 million as at 31 December 2013 primarily due to the restructuring on 19 December 2013.</w:t>
      </w:r>
    </w:p>
    <w:p w:rsidR="00672CCC" w:rsidRPr="00EF3F29" w:rsidRDefault="00672CCC" w:rsidP="00F72D42">
      <w:pPr>
        <w:autoSpaceDE w:val="0"/>
        <w:autoSpaceDN w:val="0"/>
        <w:adjustRightInd w:val="0"/>
        <w:spacing w:after="0"/>
        <w:jc w:val="both"/>
        <w:rPr>
          <w:rFonts w:ascii="Verdana" w:hAnsi="Verdana" w:cs="Frutiger-Bold"/>
          <w:b/>
          <w:bCs/>
          <w:color w:val="FF0000"/>
          <w:sz w:val="20"/>
          <w:szCs w:val="20"/>
          <w:lang w:val="en-GB"/>
        </w:rPr>
      </w:pPr>
    </w:p>
    <w:p w:rsidR="00672CCC" w:rsidRPr="00C42F7B" w:rsidRDefault="00672CCC" w:rsidP="00F72D42">
      <w:pPr>
        <w:pStyle w:val="ListParagraph"/>
        <w:numPr>
          <w:ilvl w:val="0"/>
          <w:numId w:val="9"/>
        </w:numPr>
        <w:autoSpaceDE w:val="0"/>
        <w:autoSpaceDN w:val="0"/>
        <w:adjustRightInd w:val="0"/>
        <w:spacing w:line="276" w:lineRule="auto"/>
        <w:ind w:left="540" w:hanging="540"/>
        <w:jc w:val="both"/>
        <w:rPr>
          <w:rFonts w:ascii="Verdana" w:hAnsi="Verdana" w:cs="Frutiger-Bold"/>
          <w:bCs/>
          <w:i/>
          <w:sz w:val="20"/>
          <w:szCs w:val="20"/>
        </w:rPr>
      </w:pPr>
      <w:r w:rsidRPr="00C42F7B">
        <w:rPr>
          <w:rFonts w:ascii="Verdana" w:hAnsi="Verdana" w:cs="Frutiger-Bold"/>
          <w:bCs/>
          <w:i/>
          <w:sz w:val="20"/>
          <w:szCs w:val="20"/>
        </w:rPr>
        <w:t>Revenue</w:t>
      </w:r>
    </w:p>
    <w:p w:rsidR="00672CCC" w:rsidRDefault="00672CCC" w:rsidP="00C42F7B">
      <w:pPr>
        <w:autoSpaceDE w:val="0"/>
        <w:autoSpaceDN w:val="0"/>
        <w:adjustRightInd w:val="0"/>
        <w:spacing w:after="0"/>
        <w:ind w:left="540"/>
        <w:jc w:val="both"/>
        <w:rPr>
          <w:rFonts w:ascii="Verdana" w:hAnsi="Verdana" w:cs="Frutiger-Bold"/>
          <w:bCs/>
          <w:sz w:val="20"/>
          <w:szCs w:val="20"/>
          <w:lang w:val="en-GB"/>
        </w:rPr>
      </w:pPr>
      <w:r>
        <w:rPr>
          <w:rFonts w:ascii="Verdana" w:hAnsi="Verdana" w:cs="Frutiger-Bold"/>
          <w:bCs/>
          <w:sz w:val="20"/>
          <w:szCs w:val="20"/>
          <w:lang w:val="en-GB"/>
        </w:rPr>
        <w:t>Gross revenue generated by the 6 vessels in 2013 totalled USD 60.0 million (USD 57.3 million).  After deduction of voyage related costs, the Group made a TCE revenue of USD 25.9 million (USD 26.4 million).</w:t>
      </w:r>
    </w:p>
    <w:p w:rsidR="00672CCC" w:rsidRPr="00EF3F29" w:rsidRDefault="00672CCC" w:rsidP="00672CCC">
      <w:pPr>
        <w:spacing w:after="0"/>
        <w:jc w:val="both"/>
        <w:rPr>
          <w:rFonts w:ascii="Verdana" w:hAnsi="Verdana"/>
          <w:color w:val="FF0000"/>
          <w:sz w:val="20"/>
          <w:szCs w:val="20"/>
          <w:lang w:val="en-GB"/>
        </w:rPr>
      </w:pPr>
    </w:p>
    <w:p w:rsidR="00672CCC" w:rsidRPr="00C42F7B" w:rsidRDefault="00672CCC" w:rsidP="00C42F7B">
      <w:pPr>
        <w:pStyle w:val="ListParagraph"/>
        <w:numPr>
          <w:ilvl w:val="0"/>
          <w:numId w:val="9"/>
        </w:numPr>
        <w:autoSpaceDE w:val="0"/>
        <w:autoSpaceDN w:val="0"/>
        <w:adjustRightInd w:val="0"/>
        <w:ind w:left="540" w:hanging="540"/>
        <w:jc w:val="both"/>
        <w:rPr>
          <w:rFonts w:ascii="Verdana" w:hAnsi="Verdana" w:cs="Frutiger-Bold"/>
          <w:bCs/>
          <w:i/>
          <w:sz w:val="20"/>
          <w:szCs w:val="20"/>
        </w:rPr>
      </w:pPr>
      <w:r w:rsidRPr="00C42F7B">
        <w:rPr>
          <w:rFonts w:ascii="Verdana" w:hAnsi="Verdana" w:cs="Frutiger-Bold"/>
          <w:bCs/>
          <w:i/>
          <w:sz w:val="20"/>
          <w:szCs w:val="20"/>
        </w:rPr>
        <w:t>Operating Costs</w:t>
      </w:r>
    </w:p>
    <w:p w:rsidR="00672CCC" w:rsidRPr="00EF3F29" w:rsidRDefault="00672CCC" w:rsidP="00C42F7B">
      <w:pPr>
        <w:spacing w:after="0"/>
        <w:ind w:left="540"/>
        <w:jc w:val="both"/>
        <w:rPr>
          <w:rFonts w:ascii="Verdana" w:hAnsi="Verdana"/>
          <w:color w:val="FF0000"/>
          <w:sz w:val="20"/>
          <w:szCs w:val="20"/>
          <w:lang w:val="en-GB"/>
        </w:rPr>
      </w:pPr>
      <w:r>
        <w:rPr>
          <w:rFonts w:ascii="Verdana" w:hAnsi="Verdana"/>
          <w:sz w:val="20"/>
          <w:szCs w:val="20"/>
          <w:lang w:val="en-GB"/>
        </w:rPr>
        <w:t xml:space="preserve">Expenses related to the operation of 6 </w:t>
      </w:r>
      <w:r w:rsidRPr="00EF3F29">
        <w:rPr>
          <w:rFonts w:ascii="Verdana" w:hAnsi="Verdana"/>
          <w:sz w:val="20"/>
          <w:szCs w:val="20"/>
          <w:lang w:val="en-GB"/>
        </w:rPr>
        <w:t xml:space="preserve">vessels owned by </w:t>
      </w:r>
      <w:r>
        <w:rPr>
          <w:rFonts w:ascii="Verdana" w:hAnsi="Verdana"/>
          <w:sz w:val="20"/>
          <w:szCs w:val="20"/>
          <w:lang w:val="en-GB"/>
        </w:rPr>
        <w:t xml:space="preserve">the Group </w:t>
      </w:r>
      <w:r w:rsidRPr="00EF3F29">
        <w:rPr>
          <w:rFonts w:ascii="Verdana" w:hAnsi="Verdana"/>
          <w:sz w:val="20"/>
          <w:szCs w:val="20"/>
          <w:lang w:val="en-GB"/>
        </w:rPr>
        <w:t xml:space="preserve">amounted to USD </w:t>
      </w:r>
      <w:r>
        <w:rPr>
          <w:rFonts w:ascii="Verdana" w:hAnsi="Verdana"/>
          <w:sz w:val="20"/>
          <w:szCs w:val="20"/>
          <w:lang w:val="en-GB"/>
        </w:rPr>
        <w:t>18.7 million</w:t>
      </w:r>
      <w:r w:rsidRPr="00EF3F29">
        <w:rPr>
          <w:rFonts w:ascii="Verdana" w:hAnsi="Verdana"/>
          <w:sz w:val="20"/>
          <w:szCs w:val="20"/>
          <w:lang w:val="en-GB"/>
        </w:rPr>
        <w:t xml:space="preserve"> (USD </w:t>
      </w:r>
      <w:r>
        <w:rPr>
          <w:rFonts w:ascii="Verdana" w:hAnsi="Verdana"/>
          <w:sz w:val="20"/>
          <w:szCs w:val="20"/>
          <w:lang w:val="en-GB"/>
        </w:rPr>
        <w:t>16.6</w:t>
      </w:r>
      <w:r w:rsidRPr="00EF3F29">
        <w:rPr>
          <w:rFonts w:ascii="Verdana" w:hAnsi="Verdana"/>
          <w:sz w:val="20"/>
          <w:szCs w:val="20"/>
          <w:lang w:val="en-GB"/>
        </w:rPr>
        <w:t xml:space="preserve"> </w:t>
      </w:r>
      <w:r>
        <w:rPr>
          <w:rFonts w:ascii="Verdana" w:hAnsi="Verdana"/>
          <w:sz w:val="20"/>
          <w:szCs w:val="20"/>
          <w:lang w:val="en-GB"/>
        </w:rPr>
        <w:t>million).  This also includes certain repairs for Nordic Ruth which were not claimable under the vessel’s insurance cover.</w:t>
      </w:r>
    </w:p>
    <w:p w:rsidR="00672CCC" w:rsidRDefault="00672CCC" w:rsidP="00C42F7B">
      <w:pPr>
        <w:spacing w:after="0"/>
        <w:ind w:left="540"/>
        <w:jc w:val="both"/>
        <w:rPr>
          <w:rFonts w:ascii="Verdana" w:hAnsi="Verdana"/>
          <w:sz w:val="20"/>
          <w:szCs w:val="20"/>
          <w:lang w:val="en-GB"/>
        </w:rPr>
      </w:pPr>
    </w:p>
    <w:p w:rsidR="00672CCC" w:rsidRDefault="00672CCC" w:rsidP="00C42F7B">
      <w:pPr>
        <w:spacing w:after="0"/>
        <w:ind w:left="540"/>
        <w:jc w:val="both"/>
        <w:rPr>
          <w:rFonts w:ascii="Verdana" w:hAnsi="Verdana"/>
          <w:sz w:val="20"/>
          <w:szCs w:val="20"/>
          <w:lang w:val="en-GB"/>
        </w:rPr>
      </w:pPr>
      <w:r w:rsidRPr="00EF3F29">
        <w:rPr>
          <w:rFonts w:ascii="Verdana" w:hAnsi="Verdana"/>
          <w:sz w:val="20"/>
          <w:szCs w:val="20"/>
          <w:lang w:val="en-GB"/>
        </w:rPr>
        <w:t xml:space="preserve">Staff costs amounted to USD </w:t>
      </w:r>
      <w:r w:rsidR="00247FE9">
        <w:rPr>
          <w:rFonts w:ascii="Verdana" w:hAnsi="Verdana"/>
          <w:sz w:val="20"/>
          <w:szCs w:val="20"/>
          <w:lang w:val="en-GB"/>
        </w:rPr>
        <w:t>0.3</w:t>
      </w:r>
      <w:r>
        <w:rPr>
          <w:rFonts w:ascii="Verdana" w:hAnsi="Verdana"/>
          <w:sz w:val="20"/>
          <w:szCs w:val="20"/>
          <w:lang w:val="en-GB"/>
        </w:rPr>
        <w:t xml:space="preserve"> </w:t>
      </w:r>
      <w:r w:rsidRPr="00EF3F29">
        <w:rPr>
          <w:rFonts w:ascii="Verdana" w:hAnsi="Verdana"/>
          <w:sz w:val="20"/>
          <w:szCs w:val="20"/>
          <w:lang w:val="en-GB"/>
        </w:rPr>
        <w:t xml:space="preserve">million (USD </w:t>
      </w:r>
      <w:r>
        <w:rPr>
          <w:rFonts w:ascii="Verdana" w:hAnsi="Verdana"/>
          <w:sz w:val="20"/>
          <w:szCs w:val="20"/>
          <w:lang w:val="en-GB"/>
        </w:rPr>
        <w:t>1.1</w:t>
      </w:r>
      <w:r w:rsidRPr="00EF3F29">
        <w:rPr>
          <w:rFonts w:ascii="Verdana" w:hAnsi="Verdana"/>
          <w:sz w:val="20"/>
          <w:szCs w:val="20"/>
          <w:lang w:val="en-GB"/>
        </w:rPr>
        <w:t xml:space="preserve"> million)</w:t>
      </w:r>
      <w:r>
        <w:rPr>
          <w:rFonts w:ascii="Verdana" w:hAnsi="Verdana"/>
          <w:sz w:val="20"/>
          <w:szCs w:val="20"/>
          <w:lang w:val="en-GB"/>
        </w:rPr>
        <w:t xml:space="preserve"> while other ex</w:t>
      </w:r>
      <w:r w:rsidR="00247FE9">
        <w:rPr>
          <w:rFonts w:ascii="Verdana" w:hAnsi="Verdana"/>
          <w:sz w:val="20"/>
          <w:szCs w:val="20"/>
          <w:lang w:val="en-GB"/>
        </w:rPr>
        <w:t>ternal costs amounted to USD 3.3</w:t>
      </w:r>
      <w:r>
        <w:rPr>
          <w:rFonts w:ascii="Verdana" w:hAnsi="Verdana"/>
          <w:sz w:val="20"/>
          <w:szCs w:val="20"/>
          <w:lang w:val="en-GB"/>
        </w:rPr>
        <w:t xml:space="preserve"> million (USD 2.2 million).</w:t>
      </w:r>
    </w:p>
    <w:p w:rsidR="00672CCC" w:rsidRPr="00EF3F29" w:rsidRDefault="00672CCC" w:rsidP="00672CCC">
      <w:pPr>
        <w:autoSpaceDE w:val="0"/>
        <w:autoSpaceDN w:val="0"/>
        <w:adjustRightInd w:val="0"/>
        <w:spacing w:after="0"/>
        <w:jc w:val="both"/>
        <w:rPr>
          <w:rFonts w:ascii="Verdana" w:hAnsi="Verdana" w:cs="Frutiger-Light"/>
          <w:color w:val="FF0000"/>
          <w:sz w:val="20"/>
          <w:szCs w:val="20"/>
          <w:lang w:val="en-GB"/>
        </w:rPr>
      </w:pPr>
    </w:p>
    <w:p w:rsidR="00672CCC" w:rsidRPr="00C42F7B" w:rsidRDefault="00672CCC" w:rsidP="00C42F7B">
      <w:pPr>
        <w:pStyle w:val="ListParagraph"/>
        <w:numPr>
          <w:ilvl w:val="0"/>
          <w:numId w:val="9"/>
        </w:numPr>
        <w:autoSpaceDE w:val="0"/>
        <w:autoSpaceDN w:val="0"/>
        <w:adjustRightInd w:val="0"/>
        <w:ind w:left="540" w:hanging="540"/>
        <w:jc w:val="both"/>
        <w:rPr>
          <w:rFonts w:ascii="Verdana" w:hAnsi="Verdana" w:cs="Frutiger-Bold"/>
          <w:bCs/>
          <w:i/>
          <w:sz w:val="20"/>
          <w:szCs w:val="20"/>
        </w:rPr>
      </w:pPr>
      <w:r w:rsidRPr="00C42F7B">
        <w:rPr>
          <w:rFonts w:ascii="Verdana" w:hAnsi="Verdana" w:cs="Frutiger-Bold"/>
          <w:bCs/>
          <w:i/>
          <w:sz w:val="20"/>
          <w:szCs w:val="20"/>
        </w:rPr>
        <w:t>Depreciation and write-downs</w:t>
      </w:r>
    </w:p>
    <w:p w:rsidR="00672CCC" w:rsidRPr="00EF3F29" w:rsidRDefault="00672CCC" w:rsidP="00C42F7B">
      <w:pPr>
        <w:spacing w:after="0"/>
        <w:ind w:left="540"/>
        <w:jc w:val="both"/>
        <w:rPr>
          <w:rFonts w:ascii="Verdana" w:hAnsi="Verdana"/>
          <w:sz w:val="20"/>
          <w:szCs w:val="20"/>
          <w:lang w:val="en-GB"/>
        </w:rPr>
      </w:pPr>
      <w:r>
        <w:rPr>
          <w:rFonts w:ascii="Verdana" w:hAnsi="Verdana"/>
          <w:sz w:val="20"/>
          <w:szCs w:val="20"/>
          <w:lang w:val="en-GB"/>
        </w:rPr>
        <w:t xml:space="preserve">A total depreciation of USD 5.6 million (USD 7.6 million) was charged on the Company’s 6 </w:t>
      </w:r>
      <w:r w:rsidRPr="00EF3F29">
        <w:rPr>
          <w:rFonts w:ascii="Verdana" w:hAnsi="Verdana"/>
          <w:sz w:val="20"/>
          <w:szCs w:val="20"/>
          <w:lang w:val="en-GB"/>
        </w:rPr>
        <w:t>vessels</w:t>
      </w:r>
      <w:r>
        <w:rPr>
          <w:rFonts w:ascii="Verdana" w:hAnsi="Verdana"/>
          <w:sz w:val="20"/>
          <w:szCs w:val="20"/>
          <w:lang w:val="en-GB"/>
        </w:rPr>
        <w:t>.</w:t>
      </w:r>
      <w:r w:rsidRPr="00EF3F29">
        <w:rPr>
          <w:rFonts w:ascii="Verdana" w:hAnsi="Verdana"/>
          <w:sz w:val="20"/>
          <w:szCs w:val="20"/>
          <w:lang w:val="en-GB"/>
        </w:rPr>
        <w:t xml:space="preserve"> </w:t>
      </w:r>
      <w:r w:rsidR="00705E35">
        <w:rPr>
          <w:rFonts w:ascii="Verdana" w:hAnsi="Verdana"/>
          <w:sz w:val="20"/>
          <w:szCs w:val="20"/>
          <w:lang w:val="en-GB"/>
        </w:rPr>
        <w:t xml:space="preserve"> No write-downs were </w:t>
      </w:r>
      <w:r>
        <w:rPr>
          <w:rFonts w:ascii="Verdana" w:hAnsi="Verdana"/>
          <w:sz w:val="20"/>
          <w:szCs w:val="20"/>
          <w:lang w:val="en-GB"/>
        </w:rPr>
        <w:t>recognised in 2013 as the impairment tests on the fleet revealed independent broker valuations exceeding the carrying amounts of the vessels at year-end.  In 2012, the Company recognised a write-down of USD 39.7 million of which USD 37.7 million</w:t>
      </w:r>
      <w:r w:rsidRPr="00EF3F29">
        <w:rPr>
          <w:rFonts w:ascii="Verdana" w:hAnsi="Verdana"/>
          <w:sz w:val="20"/>
          <w:szCs w:val="20"/>
          <w:lang w:val="en-GB"/>
        </w:rPr>
        <w:t xml:space="preserve"> were related to an impairment made on the </w:t>
      </w:r>
      <w:r>
        <w:rPr>
          <w:rFonts w:ascii="Verdana" w:hAnsi="Verdana"/>
          <w:sz w:val="20"/>
          <w:szCs w:val="20"/>
          <w:lang w:val="en-GB"/>
        </w:rPr>
        <w:t>product tanker vessels</w:t>
      </w:r>
      <w:r w:rsidRPr="00EF3F29">
        <w:rPr>
          <w:rFonts w:ascii="Verdana" w:hAnsi="Verdana"/>
          <w:sz w:val="20"/>
          <w:szCs w:val="20"/>
          <w:lang w:val="en-GB"/>
        </w:rPr>
        <w:t xml:space="preserve"> </w:t>
      </w:r>
      <w:r>
        <w:rPr>
          <w:rFonts w:ascii="Verdana" w:hAnsi="Verdana"/>
          <w:sz w:val="20"/>
          <w:szCs w:val="20"/>
          <w:lang w:val="en-GB"/>
        </w:rPr>
        <w:t>at the end of 2012 and USD 2.0 million to goodwill.</w:t>
      </w:r>
    </w:p>
    <w:p w:rsidR="00672CCC" w:rsidRDefault="00672CCC" w:rsidP="00672CCC">
      <w:pPr>
        <w:autoSpaceDE w:val="0"/>
        <w:autoSpaceDN w:val="0"/>
        <w:adjustRightInd w:val="0"/>
        <w:spacing w:after="0"/>
        <w:jc w:val="both"/>
        <w:rPr>
          <w:rFonts w:ascii="Verdana" w:hAnsi="Verdana" w:cs="Frutiger-Bold"/>
          <w:bCs/>
          <w:i/>
          <w:sz w:val="20"/>
          <w:szCs w:val="20"/>
          <w:lang w:val="en-GB"/>
        </w:rPr>
      </w:pPr>
    </w:p>
    <w:p w:rsidR="00FD3961" w:rsidRPr="00C42F7B" w:rsidRDefault="00FD3961" w:rsidP="00FD3961">
      <w:pPr>
        <w:pStyle w:val="ListParagraph"/>
        <w:numPr>
          <w:ilvl w:val="0"/>
          <w:numId w:val="9"/>
        </w:numPr>
        <w:autoSpaceDE w:val="0"/>
        <w:autoSpaceDN w:val="0"/>
        <w:adjustRightInd w:val="0"/>
        <w:ind w:left="540" w:hanging="540"/>
        <w:jc w:val="both"/>
        <w:rPr>
          <w:rFonts w:ascii="Verdana" w:hAnsi="Verdana" w:cs="Frutiger-Bold"/>
          <w:bCs/>
          <w:i/>
          <w:sz w:val="20"/>
          <w:szCs w:val="20"/>
        </w:rPr>
      </w:pPr>
      <w:r>
        <w:rPr>
          <w:rFonts w:ascii="Verdana" w:hAnsi="Verdana" w:cs="Frutiger-Bold"/>
          <w:bCs/>
          <w:i/>
          <w:sz w:val="20"/>
          <w:szCs w:val="20"/>
        </w:rPr>
        <w:t>Gain from</w:t>
      </w:r>
      <w:r w:rsidRPr="00C42F7B">
        <w:rPr>
          <w:rFonts w:ascii="Verdana" w:hAnsi="Verdana" w:cs="Frutiger-Bold"/>
          <w:bCs/>
          <w:i/>
          <w:sz w:val="20"/>
          <w:szCs w:val="20"/>
        </w:rPr>
        <w:t xml:space="preserve"> </w:t>
      </w:r>
      <w:r>
        <w:rPr>
          <w:rFonts w:ascii="Verdana" w:hAnsi="Verdana" w:cs="Frutiger-Bold"/>
          <w:bCs/>
          <w:i/>
          <w:sz w:val="20"/>
          <w:szCs w:val="20"/>
        </w:rPr>
        <w:t>r</w:t>
      </w:r>
      <w:r w:rsidRPr="00C42F7B">
        <w:rPr>
          <w:rFonts w:ascii="Verdana" w:hAnsi="Verdana" w:cs="Frutiger-Bold"/>
          <w:bCs/>
          <w:i/>
          <w:sz w:val="20"/>
          <w:szCs w:val="20"/>
        </w:rPr>
        <w:t>estructuring</w:t>
      </w:r>
    </w:p>
    <w:p w:rsidR="00FD3961" w:rsidRDefault="00FD3961" w:rsidP="00FD3961">
      <w:pPr>
        <w:autoSpaceDE w:val="0"/>
        <w:autoSpaceDN w:val="0"/>
        <w:adjustRightInd w:val="0"/>
        <w:spacing w:after="0"/>
        <w:ind w:left="540"/>
        <w:jc w:val="both"/>
        <w:rPr>
          <w:rFonts w:ascii="Verdana" w:hAnsi="Verdana" w:cs="Frutiger-Bold"/>
          <w:bCs/>
          <w:sz w:val="20"/>
          <w:szCs w:val="20"/>
          <w:lang w:val="en-GB"/>
        </w:rPr>
      </w:pPr>
      <w:r>
        <w:rPr>
          <w:rFonts w:ascii="Verdana" w:hAnsi="Verdana" w:cs="Frutiger-Bold"/>
          <w:bCs/>
          <w:sz w:val="20"/>
          <w:szCs w:val="20"/>
          <w:lang w:val="en-GB"/>
        </w:rPr>
        <w:t>The Company completed its restructuring on 19 December 2013 (see Management Review and Note 0).  The restructuring resulted in the recognition of a one-time gain of USD 28.6 million (2012: NIL).</w:t>
      </w:r>
    </w:p>
    <w:p w:rsidR="00FD3961" w:rsidRPr="00EF3F29" w:rsidRDefault="00FD3961" w:rsidP="00672CCC">
      <w:pPr>
        <w:autoSpaceDE w:val="0"/>
        <w:autoSpaceDN w:val="0"/>
        <w:adjustRightInd w:val="0"/>
        <w:spacing w:after="0"/>
        <w:jc w:val="both"/>
        <w:rPr>
          <w:rFonts w:ascii="Verdana" w:hAnsi="Verdana" w:cs="Frutiger-Bold"/>
          <w:bCs/>
          <w:i/>
          <w:sz w:val="20"/>
          <w:szCs w:val="20"/>
          <w:lang w:val="en-GB"/>
        </w:rPr>
      </w:pPr>
    </w:p>
    <w:p w:rsidR="00672CCC" w:rsidRPr="00C42F7B" w:rsidRDefault="00672CCC" w:rsidP="00C42F7B">
      <w:pPr>
        <w:pStyle w:val="ListParagraph"/>
        <w:numPr>
          <w:ilvl w:val="0"/>
          <w:numId w:val="9"/>
        </w:numPr>
        <w:autoSpaceDE w:val="0"/>
        <w:autoSpaceDN w:val="0"/>
        <w:adjustRightInd w:val="0"/>
        <w:ind w:left="540" w:hanging="540"/>
        <w:jc w:val="both"/>
        <w:rPr>
          <w:rFonts w:ascii="Verdana" w:hAnsi="Verdana" w:cs="Frutiger-Bold"/>
          <w:bCs/>
          <w:i/>
          <w:sz w:val="20"/>
          <w:szCs w:val="20"/>
        </w:rPr>
      </w:pPr>
      <w:r w:rsidRPr="00C42F7B">
        <w:rPr>
          <w:rFonts w:ascii="Verdana" w:hAnsi="Verdana" w:cs="Frutiger-Bold"/>
          <w:bCs/>
          <w:i/>
          <w:sz w:val="20"/>
          <w:szCs w:val="20"/>
        </w:rPr>
        <w:t>Financial income and expenses</w:t>
      </w:r>
    </w:p>
    <w:p w:rsidR="00672CCC" w:rsidRPr="00EF3F29" w:rsidRDefault="00672CCC" w:rsidP="00C42F7B">
      <w:pPr>
        <w:spacing w:after="0"/>
        <w:ind w:left="540"/>
        <w:jc w:val="both"/>
        <w:rPr>
          <w:rFonts w:ascii="Verdana" w:hAnsi="Verdana"/>
          <w:sz w:val="20"/>
          <w:szCs w:val="20"/>
          <w:lang w:val="en-GB"/>
        </w:rPr>
      </w:pPr>
      <w:r>
        <w:rPr>
          <w:rFonts w:ascii="Verdana" w:hAnsi="Verdana"/>
          <w:sz w:val="20"/>
          <w:szCs w:val="20"/>
          <w:lang w:val="en-GB"/>
        </w:rPr>
        <w:t>F</w:t>
      </w:r>
      <w:r w:rsidRPr="00EF3F29">
        <w:rPr>
          <w:rFonts w:ascii="Verdana" w:hAnsi="Verdana"/>
          <w:sz w:val="20"/>
          <w:szCs w:val="20"/>
          <w:lang w:val="en-GB"/>
        </w:rPr>
        <w:t xml:space="preserve">inancial expenses amounted to USD </w:t>
      </w:r>
      <w:r>
        <w:rPr>
          <w:rFonts w:ascii="Verdana" w:hAnsi="Verdana"/>
          <w:sz w:val="20"/>
          <w:szCs w:val="20"/>
          <w:lang w:val="en-GB"/>
        </w:rPr>
        <w:t xml:space="preserve">7.1 </w:t>
      </w:r>
      <w:r w:rsidRPr="00EF3F29">
        <w:rPr>
          <w:rFonts w:ascii="Verdana" w:hAnsi="Verdana"/>
          <w:sz w:val="20"/>
          <w:szCs w:val="20"/>
          <w:lang w:val="en-GB"/>
        </w:rPr>
        <w:t xml:space="preserve">million (USD </w:t>
      </w:r>
      <w:r>
        <w:rPr>
          <w:rFonts w:ascii="Verdana" w:hAnsi="Verdana"/>
          <w:sz w:val="20"/>
          <w:szCs w:val="20"/>
          <w:lang w:val="en-GB"/>
        </w:rPr>
        <w:t>15.2</w:t>
      </w:r>
      <w:r w:rsidRPr="00EF3F29">
        <w:rPr>
          <w:rFonts w:ascii="Verdana" w:hAnsi="Verdana"/>
          <w:sz w:val="20"/>
          <w:szCs w:val="20"/>
          <w:lang w:val="en-GB"/>
        </w:rPr>
        <w:t xml:space="preserve"> </w:t>
      </w:r>
      <w:r>
        <w:rPr>
          <w:rFonts w:ascii="Verdana" w:hAnsi="Verdana"/>
          <w:sz w:val="20"/>
          <w:szCs w:val="20"/>
          <w:lang w:val="en-GB"/>
        </w:rPr>
        <w:t xml:space="preserve">million) </w:t>
      </w:r>
      <w:r w:rsidR="00705E35">
        <w:rPr>
          <w:rFonts w:ascii="Verdana" w:hAnsi="Verdana"/>
          <w:sz w:val="20"/>
          <w:szCs w:val="20"/>
          <w:lang w:val="en-GB"/>
        </w:rPr>
        <w:t xml:space="preserve">due </w:t>
      </w:r>
      <w:r>
        <w:rPr>
          <w:rFonts w:ascii="Verdana" w:hAnsi="Verdana"/>
          <w:sz w:val="20"/>
          <w:szCs w:val="20"/>
          <w:lang w:val="en-GB"/>
        </w:rPr>
        <w:t>mainly</w:t>
      </w:r>
      <w:r w:rsidR="00705E35">
        <w:rPr>
          <w:rFonts w:ascii="Verdana" w:hAnsi="Verdana"/>
          <w:sz w:val="20"/>
          <w:szCs w:val="20"/>
          <w:lang w:val="en-GB"/>
        </w:rPr>
        <w:t xml:space="preserve"> to</w:t>
      </w:r>
      <w:r>
        <w:rPr>
          <w:rFonts w:ascii="Verdana" w:hAnsi="Verdana"/>
          <w:sz w:val="20"/>
          <w:szCs w:val="20"/>
          <w:lang w:val="en-GB"/>
        </w:rPr>
        <w:t xml:space="preserve"> interest </w:t>
      </w:r>
      <w:r w:rsidR="00705E35">
        <w:rPr>
          <w:rFonts w:ascii="Verdana" w:hAnsi="Verdana"/>
          <w:sz w:val="20"/>
          <w:szCs w:val="20"/>
          <w:lang w:val="en-GB"/>
        </w:rPr>
        <w:t xml:space="preserve">expense </w:t>
      </w:r>
      <w:r>
        <w:rPr>
          <w:rFonts w:ascii="Verdana" w:hAnsi="Verdana"/>
          <w:sz w:val="20"/>
          <w:szCs w:val="20"/>
          <w:lang w:val="en-GB"/>
        </w:rPr>
        <w:t>on the Group’s loans.  For 2012, the</w:t>
      </w:r>
      <w:r w:rsidRPr="00EF3F29">
        <w:rPr>
          <w:rFonts w:ascii="Verdana" w:hAnsi="Verdana"/>
          <w:sz w:val="20"/>
          <w:szCs w:val="20"/>
          <w:lang w:val="en-GB"/>
        </w:rPr>
        <w:t xml:space="preserve"> </w:t>
      </w:r>
      <w:r>
        <w:rPr>
          <w:rFonts w:ascii="Verdana" w:hAnsi="Verdana"/>
          <w:sz w:val="20"/>
          <w:szCs w:val="20"/>
          <w:lang w:val="en-GB"/>
        </w:rPr>
        <w:t xml:space="preserve">financial expenses of USD 15.2 </w:t>
      </w:r>
      <w:r w:rsidRPr="00EF3F29">
        <w:rPr>
          <w:rFonts w:ascii="Verdana" w:hAnsi="Verdana"/>
          <w:sz w:val="20"/>
          <w:szCs w:val="20"/>
          <w:lang w:val="en-GB"/>
        </w:rPr>
        <w:t xml:space="preserve">million </w:t>
      </w:r>
      <w:r>
        <w:rPr>
          <w:rFonts w:ascii="Verdana" w:hAnsi="Verdana"/>
          <w:sz w:val="20"/>
          <w:szCs w:val="20"/>
          <w:lang w:val="en-GB"/>
        </w:rPr>
        <w:t xml:space="preserve">came </w:t>
      </w:r>
      <w:r w:rsidRPr="00EF3F29">
        <w:rPr>
          <w:rFonts w:ascii="Verdana" w:hAnsi="Verdana"/>
          <w:sz w:val="20"/>
          <w:szCs w:val="20"/>
          <w:lang w:val="en-GB"/>
        </w:rPr>
        <w:t xml:space="preserve">primarily </w:t>
      </w:r>
      <w:r>
        <w:rPr>
          <w:rFonts w:ascii="Verdana" w:hAnsi="Verdana"/>
          <w:sz w:val="20"/>
          <w:szCs w:val="20"/>
          <w:lang w:val="en-GB"/>
        </w:rPr>
        <w:t xml:space="preserve">from </w:t>
      </w:r>
      <w:r w:rsidRPr="00EF3F29">
        <w:rPr>
          <w:rFonts w:ascii="Verdana" w:hAnsi="Verdana"/>
          <w:sz w:val="20"/>
          <w:szCs w:val="20"/>
          <w:lang w:val="en-GB"/>
        </w:rPr>
        <w:t>interest on the Company’s loans</w:t>
      </w:r>
      <w:r>
        <w:rPr>
          <w:rFonts w:ascii="Verdana" w:hAnsi="Verdana"/>
          <w:sz w:val="20"/>
          <w:szCs w:val="20"/>
          <w:lang w:val="en-GB"/>
        </w:rPr>
        <w:t xml:space="preserve"> of </w:t>
      </w:r>
      <w:r w:rsidRPr="006C76BC">
        <w:rPr>
          <w:rFonts w:ascii="Verdana" w:hAnsi="Verdana"/>
          <w:sz w:val="20"/>
          <w:szCs w:val="20"/>
          <w:lang w:val="en-GB"/>
        </w:rPr>
        <w:t>USD 8.3 million and write-down of USD 5.2 million on the vendor note.</w:t>
      </w:r>
    </w:p>
    <w:p w:rsidR="00672CCC" w:rsidRDefault="00672CCC" w:rsidP="00672CCC">
      <w:pPr>
        <w:spacing w:after="0"/>
        <w:jc w:val="both"/>
        <w:rPr>
          <w:rFonts w:ascii="Verdana" w:hAnsi="Verdana"/>
          <w:color w:val="FF0000"/>
          <w:sz w:val="20"/>
          <w:szCs w:val="20"/>
          <w:lang w:val="en-GB"/>
        </w:rPr>
      </w:pPr>
    </w:p>
    <w:p w:rsidR="00672CCC" w:rsidRDefault="00672CCC" w:rsidP="00672CCC">
      <w:pPr>
        <w:autoSpaceDE w:val="0"/>
        <w:autoSpaceDN w:val="0"/>
        <w:adjustRightInd w:val="0"/>
        <w:spacing w:after="0"/>
        <w:jc w:val="both"/>
        <w:rPr>
          <w:rFonts w:ascii="Verdana" w:hAnsi="Verdana" w:cs="Frutiger-Bold"/>
          <w:bCs/>
          <w:sz w:val="20"/>
          <w:szCs w:val="20"/>
          <w:lang w:val="en-GB"/>
        </w:rPr>
      </w:pPr>
    </w:p>
    <w:p w:rsidR="00F72D42" w:rsidRDefault="00F72D42" w:rsidP="00672CCC">
      <w:pPr>
        <w:autoSpaceDE w:val="0"/>
        <w:autoSpaceDN w:val="0"/>
        <w:adjustRightInd w:val="0"/>
        <w:spacing w:after="0"/>
        <w:jc w:val="both"/>
        <w:rPr>
          <w:rFonts w:ascii="Verdana" w:hAnsi="Verdana" w:cs="Frutiger-Bold"/>
          <w:bCs/>
          <w:sz w:val="20"/>
          <w:szCs w:val="20"/>
          <w:lang w:val="en-GB"/>
        </w:rPr>
      </w:pPr>
    </w:p>
    <w:p w:rsidR="00672CCC" w:rsidRPr="00C42F7B" w:rsidRDefault="00672CCC" w:rsidP="00C42F7B">
      <w:pPr>
        <w:pStyle w:val="ListParagraph"/>
        <w:numPr>
          <w:ilvl w:val="0"/>
          <w:numId w:val="9"/>
        </w:numPr>
        <w:autoSpaceDE w:val="0"/>
        <w:autoSpaceDN w:val="0"/>
        <w:adjustRightInd w:val="0"/>
        <w:ind w:left="540" w:hanging="540"/>
        <w:jc w:val="both"/>
        <w:rPr>
          <w:rFonts w:ascii="Verdana" w:hAnsi="Verdana" w:cs="Frutiger-Bold"/>
          <w:bCs/>
          <w:i/>
          <w:sz w:val="20"/>
          <w:szCs w:val="20"/>
        </w:rPr>
      </w:pPr>
      <w:r w:rsidRPr="00C42F7B">
        <w:rPr>
          <w:rFonts w:ascii="Verdana" w:hAnsi="Verdana" w:cs="Frutiger-Bold"/>
          <w:bCs/>
          <w:i/>
          <w:sz w:val="20"/>
          <w:szCs w:val="20"/>
        </w:rPr>
        <w:lastRenderedPageBreak/>
        <w:t>Tax</w:t>
      </w:r>
    </w:p>
    <w:p w:rsidR="00672CCC" w:rsidRPr="004828C2" w:rsidRDefault="00672CCC" w:rsidP="00C42F7B">
      <w:pPr>
        <w:spacing w:after="0" w:line="240" w:lineRule="auto"/>
        <w:ind w:left="540"/>
        <w:jc w:val="both"/>
        <w:rPr>
          <w:rFonts w:ascii="Verdana" w:hAnsi="Verdana"/>
          <w:sz w:val="20"/>
          <w:szCs w:val="20"/>
          <w:lang w:val="en-GB"/>
        </w:rPr>
      </w:pPr>
      <w:r w:rsidRPr="004828C2">
        <w:rPr>
          <w:rFonts w:ascii="Verdana" w:hAnsi="Verdana"/>
          <w:sz w:val="20"/>
          <w:szCs w:val="20"/>
          <w:lang w:val="en-GB"/>
        </w:rPr>
        <w:t xml:space="preserve">The Company’s tax payment is primarily calculated according to the rules and regulations of the Dutch and Danish Tonnage Tax Act.  For further information please refer to Note 11 in the financial statements. </w:t>
      </w:r>
    </w:p>
    <w:p w:rsidR="00672CCC" w:rsidRPr="004828C2" w:rsidRDefault="00672CCC" w:rsidP="004828C2">
      <w:pPr>
        <w:autoSpaceDE w:val="0"/>
        <w:autoSpaceDN w:val="0"/>
        <w:adjustRightInd w:val="0"/>
        <w:spacing w:after="0" w:line="240" w:lineRule="auto"/>
        <w:jc w:val="both"/>
        <w:rPr>
          <w:rFonts w:ascii="Verdana" w:hAnsi="Verdana" w:cs="Frutiger-Bold"/>
          <w:b/>
          <w:bCs/>
          <w:color w:val="FF0000"/>
          <w:sz w:val="20"/>
          <w:szCs w:val="20"/>
          <w:lang w:val="en-GB"/>
        </w:rPr>
      </w:pPr>
    </w:p>
    <w:p w:rsidR="00672CCC" w:rsidRPr="00C42F7B" w:rsidRDefault="00672CCC" w:rsidP="00C42F7B">
      <w:pPr>
        <w:pStyle w:val="ListParagraph"/>
        <w:numPr>
          <w:ilvl w:val="0"/>
          <w:numId w:val="9"/>
        </w:numPr>
        <w:autoSpaceDE w:val="0"/>
        <w:autoSpaceDN w:val="0"/>
        <w:adjustRightInd w:val="0"/>
        <w:ind w:left="540" w:hanging="540"/>
        <w:jc w:val="both"/>
        <w:rPr>
          <w:rFonts w:ascii="Verdana" w:hAnsi="Verdana" w:cs="Frutiger-Bold"/>
          <w:bCs/>
          <w:i/>
          <w:sz w:val="20"/>
          <w:szCs w:val="20"/>
        </w:rPr>
      </w:pPr>
      <w:r w:rsidRPr="00C42F7B">
        <w:rPr>
          <w:rFonts w:ascii="Verdana" w:hAnsi="Verdana" w:cs="Frutiger-Bold"/>
          <w:bCs/>
          <w:i/>
          <w:sz w:val="20"/>
          <w:szCs w:val="20"/>
        </w:rPr>
        <w:t>Assets</w:t>
      </w:r>
    </w:p>
    <w:p w:rsidR="004828C2" w:rsidRDefault="00270C70" w:rsidP="00C42F7B">
      <w:pPr>
        <w:spacing w:after="0" w:line="240" w:lineRule="auto"/>
        <w:ind w:left="540"/>
        <w:jc w:val="both"/>
        <w:rPr>
          <w:rFonts w:ascii="Verdana" w:hAnsi="Verdana"/>
          <w:sz w:val="20"/>
          <w:szCs w:val="20"/>
          <w:lang w:val="en-GB"/>
        </w:rPr>
      </w:pPr>
      <w:r>
        <w:rPr>
          <w:rFonts w:ascii="Verdana" w:hAnsi="Verdana"/>
          <w:sz w:val="20"/>
          <w:szCs w:val="20"/>
          <w:lang w:val="en-GB"/>
        </w:rPr>
        <w:t>At 31 December 2013, the Group</w:t>
      </w:r>
      <w:r w:rsidR="00672CCC" w:rsidRPr="004828C2">
        <w:rPr>
          <w:rFonts w:ascii="Verdana" w:hAnsi="Verdana"/>
          <w:sz w:val="20"/>
          <w:szCs w:val="20"/>
          <w:lang w:val="en-GB"/>
        </w:rPr>
        <w:t xml:space="preserve">’s </w:t>
      </w:r>
      <w:r>
        <w:rPr>
          <w:rFonts w:ascii="Verdana" w:hAnsi="Verdana"/>
          <w:sz w:val="20"/>
          <w:szCs w:val="20"/>
          <w:lang w:val="en-GB"/>
        </w:rPr>
        <w:t>balance sheet totalled USD 137.8</w:t>
      </w:r>
      <w:r w:rsidR="00672CCC" w:rsidRPr="004828C2">
        <w:rPr>
          <w:rFonts w:ascii="Verdana" w:hAnsi="Verdana"/>
          <w:sz w:val="20"/>
          <w:szCs w:val="20"/>
          <w:lang w:val="en-GB"/>
        </w:rPr>
        <w:t xml:space="preserve"> million (USD 158.3 million) comprising mainly vessels, receivables and cash.</w:t>
      </w:r>
    </w:p>
    <w:p w:rsidR="00672CCC" w:rsidRPr="004828C2" w:rsidRDefault="00672CCC" w:rsidP="00C42F7B">
      <w:pPr>
        <w:spacing w:after="0" w:line="240" w:lineRule="auto"/>
        <w:ind w:left="540"/>
        <w:jc w:val="both"/>
        <w:rPr>
          <w:rFonts w:ascii="Verdana" w:hAnsi="Verdana"/>
          <w:sz w:val="20"/>
          <w:szCs w:val="20"/>
          <w:lang w:val="en-GB"/>
        </w:rPr>
      </w:pPr>
      <w:r w:rsidRPr="004828C2">
        <w:rPr>
          <w:rFonts w:ascii="Verdana" w:hAnsi="Verdana"/>
          <w:sz w:val="20"/>
          <w:szCs w:val="20"/>
          <w:lang w:val="en-GB"/>
        </w:rPr>
        <w:t xml:space="preserve"> </w:t>
      </w:r>
    </w:p>
    <w:p w:rsidR="00672CCC" w:rsidRPr="004828C2" w:rsidRDefault="00672CCC" w:rsidP="00C42F7B">
      <w:pPr>
        <w:spacing w:after="0" w:line="240" w:lineRule="auto"/>
        <w:ind w:left="540"/>
        <w:jc w:val="both"/>
        <w:rPr>
          <w:rFonts w:ascii="Verdana" w:hAnsi="Verdana"/>
          <w:sz w:val="20"/>
          <w:szCs w:val="20"/>
          <w:lang w:val="en-GB"/>
        </w:rPr>
      </w:pPr>
      <w:r w:rsidRPr="004828C2">
        <w:rPr>
          <w:rFonts w:ascii="Verdana" w:hAnsi="Verdana"/>
          <w:sz w:val="20"/>
          <w:szCs w:val="20"/>
          <w:lang w:val="en-GB"/>
        </w:rPr>
        <w:t xml:space="preserve">Vessels and docking fell from USD 123.0 million in 2012 to USD 118.2 million in 2013 mainly due to depreciation, offset by capitalisation of dry docking.  </w:t>
      </w:r>
    </w:p>
    <w:p w:rsidR="00672CCC" w:rsidRDefault="00672CCC" w:rsidP="00C42F7B">
      <w:pPr>
        <w:spacing w:after="0" w:line="240" w:lineRule="auto"/>
        <w:ind w:left="540"/>
        <w:jc w:val="both"/>
        <w:rPr>
          <w:rFonts w:ascii="Verdana" w:hAnsi="Verdana"/>
          <w:sz w:val="20"/>
          <w:szCs w:val="20"/>
          <w:lang w:val="en-GB"/>
        </w:rPr>
      </w:pPr>
    </w:p>
    <w:p w:rsidR="00672CCC" w:rsidRDefault="00672CCC" w:rsidP="00C42F7B">
      <w:pPr>
        <w:spacing w:after="0" w:line="240" w:lineRule="auto"/>
        <w:ind w:left="540"/>
        <w:jc w:val="both"/>
        <w:rPr>
          <w:rFonts w:ascii="Verdana" w:hAnsi="Verdana"/>
          <w:sz w:val="20"/>
          <w:szCs w:val="20"/>
          <w:lang w:val="en-GB"/>
        </w:rPr>
      </w:pPr>
      <w:r>
        <w:rPr>
          <w:rFonts w:ascii="Verdana" w:hAnsi="Verdana"/>
          <w:sz w:val="20"/>
          <w:szCs w:val="20"/>
          <w:lang w:val="en-GB"/>
        </w:rPr>
        <w:t>Total receivables a</w:t>
      </w:r>
      <w:r w:rsidR="0024527F">
        <w:rPr>
          <w:rFonts w:ascii="Verdana" w:hAnsi="Verdana"/>
          <w:sz w:val="20"/>
          <w:szCs w:val="20"/>
          <w:lang w:val="en-GB"/>
        </w:rPr>
        <w:t>mounted to USD 14.1</w:t>
      </w:r>
      <w:r>
        <w:rPr>
          <w:rFonts w:ascii="Verdana" w:hAnsi="Verdana"/>
          <w:sz w:val="20"/>
          <w:szCs w:val="20"/>
          <w:lang w:val="en-GB"/>
        </w:rPr>
        <w:t xml:space="preserve"> million (USD 29.0 million) mainly from lubricant stocks, trade and other receivables generated by the vessels under the pool arrangements.</w:t>
      </w:r>
      <w:r w:rsidR="004828C2">
        <w:rPr>
          <w:rFonts w:ascii="Verdana" w:hAnsi="Verdana"/>
          <w:sz w:val="20"/>
          <w:szCs w:val="20"/>
          <w:lang w:val="en-GB"/>
        </w:rPr>
        <w:t xml:space="preserve"> In 2012, receivables included the vendor note of USD 15.1 million, which was assigned to Clipper in February 2013.</w:t>
      </w:r>
      <w:r>
        <w:rPr>
          <w:rFonts w:ascii="Verdana" w:hAnsi="Verdana"/>
          <w:sz w:val="20"/>
          <w:szCs w:val="20"/>
          <w:lang w:val="en-GB"/>
        </w:rPr>
        <w:t xml:space="preserve">  </w:t>
      </w:r>
    </w:p>
    <w:p w:rsidR="00672CCC" w:rsidRDefault="00672CCC" w:rsidP="00C42F7B">
      <w:pPr>
        <w:spacing w:after="0" w:line="240" w:lineRule="auto"/>
        <w:ind w:left="540"/>
        <w:jc w:val="both"/>
        <w:rPr>
          <w:rFonts w:ascii="Verdana" w:hAnsi="Verdana"/>
          <w:sz w:val="20"/>
          <w:szCs w:val="20"/>
          <w:lang w:val="en-GB"/>
        </w:rPr>
      </w:pPr>
    </w:p>
    <w:p w:rsidR="00672CCC" w:rsidRDefault="00672CCC" w:rsidP="00C42F7B">
      <w:pPr>
        <w:spacing w:after="0" w:line="240" w:lineRule="auto"/>
        <w:ind w:left="540"/>
        <w:jc w:val="both"/>
        <w:rPr>
          <w:rFonts w:ascii="Verdana" w:hAnsi="Verdana"/>
          <w:sz w:val="20"/>
          <w:szCs w:val="20"/>
          <w:lang w:val="en-GB"/>
        </w:rPr>
      </w:pPr>
      <w:r>
        <w:rPr>
          <w:rFonts w:ascii="Verdana" w:hAnsi="Verdana"/>
          <w:sz w:val="20"/>
          <w:szCs w:val="20"/>
          <w:lang w:val="en-GB"/>
        </w:rPr>
        <w:t>As at 31 December 2013, the Group’s cash balance was USD 5.4 million (USD 6.1 million).  This balance has taken into account the USD 2.0 million equity injection in cash as part of the restructuring on 19 December 2013.</w:t>
      </w:r>
    </w:p>
    <w:p w:rsidR="00672CCC" w:rsidRDefault="00672CCC" w:rsidP="004828C2">
      <w:pPr>
        <w:autoSpaceDE w:val="0"/>
        <w:autoSpaceDN w:val="0"/>
        <w:adjustRightInd w:val="0"/>
        <w:spacing w:after="0" w:line="240" w:lineRule="auto"/>
        <w:jc w:val="both"/>
        <w:rPr>
          <w:rFonts w:ascii="Verdana" w:hAnsi="Verdana" w:cs="Frutiger-Light"/>
          <w:sz w:val="20"/>
          <w:szCs w:val="20"/>
          <w:lang w:val="en-GB"/>
        </w:rPr>
      </w:pPr>
    </w:p>
    <w:p w:rsidR="00672CCC" w:rsidRPr="00755918" w:rsidRDefault="00672CCC" w:rsidP="00755918">
      <w:pPr>
        <w:pStyle w:val="ListParagraph"/>
        <w:numPr>
          <w:ilvl w:val="0"/>
          <w:numId w:val="9"/>
        </w:numPr>
        <w:autoSpaceDE w:val="0"/>
        <w:autoSpaceDN w:val="0"/>
        <w:adjustRightInd w:val="0"/>
        <w:ind w:left="540" w:hanging="540"/>
        <w:jc w:val="both"/>
        <w:rPr>
          <w:rFonts w:ascii="Verdana" w:hAnsi="Verdana" w:cs="Frutiger-Bold"/>
          <w:bCs/>
          <w:i/>
          <w:sz w:val="20"/>
          <w:szCs w:val="20"/>
        </w:rPr>
      </w:pPr>
      <w:r w:rsidRPr="00755918">
        <w:rPr>
          <w:rFonts w:ascii="Verdana" w:hAnsi="Verdana" w:cs="Frutiger-Bold"/>
          <w:bCs/>
          <w:i/>
          <w:sz w:val="20"/>
          <w:szCs w:val="20"/>
        </w:rPr>
        <w:t>Equity</w:t>
      </w:r>
    </w:p>
    <w:p w:rsidR="00672CCC" w:rsidRPr="00672CCC" w:rsidRDefault="00672CCC" w:rsidP="00755918">
      <w:pPr>
        <w:autoSpaceDE w:val="0"/>
        <w:autoSpaceDN w:val="0"/>
        <w:adjustRightInd w:val="0"/>
        <w:spacing w:after="0" w:line="240" w:lineRule="auto"/>
        <w:ind w:left="540"/>
        <w:jc w:val="both"/>
        <w:rPr>
          <w:rFonts w:ascii="Verdana" w:hAnsi="Verdana"/>
          <w:sz w:val="20"/>
          <w:szCs w:val="20"/>
        </w:rPr>
      </w:pPr>
      <w:r w:rsidRPr="00705E35">
        <w:rPr>
          <w:rFonts w:ascii="Verdana" w:hAnsi="Verdana"/>
          <w:sz w:val="20"/>
          <w:szCs w:val="20"/>
          <w:lang w:val="en-GB"/>
        </w:rPr>
        <w:t>There is a significant change in the Group’s equity arising from the restructuring.  Total equity turned from –USD 37.4 million in 2</w:t>
      </w:r>
      <w:r w:rsidR="00705E35">
        <w:rPr>
          <w:rFonts w:ascii="Verdana" w:hAnsi="Verdana"/>
          <w:sz w:val="20"/>
          <w:szCs w:val="20"/>
          <w:lang w:val="en-GB"/>
        </w:rPr>
        <w:t>0</w:t>
      </w:r>
      <w:r w:rsidRPr="00705E35">
        <w:rPr>
          <w:rFonts w:ascii="Verdana" w:hAnsi="Verdana"/>
          <w:sz w:val="20"/>
          <w:szCs w:val="20"/>
          <w:lang w:val="en-GB"/>
        </w:rPr>
        <w:t>12 to USD 28.2 million in 2013.  The turnaround was a result of:</w:t>
      </w:r>
    </w:p>
    <w:p w:rsidR="00672CCC" w:rsidRPr="00672CCC" w:rsidRDefault="00672CCC" w:rsidP="00755918">
      <w:pPr>
        <w:pStyle w:val="ListParagraph"/>
        <w:numPr>
          <w:ilvl w:val="0"/>
          <w:numId w:val="21"/>
        </w:numPr>
        <w:autoSpaceDE w:val="0"/>
        <w:autoSpaceDN w:val="0"/>
        <w:adjustRightInd w:val="0"/>
        <w:ind w:left="900"/>
        <w:jc w:val="both"/>
        <w:rPr>
          <w:rFonts w:ascii="Verdana" w:hAnsi="Verdana"/>
          <w:sz w:val="20"/>
          <w:szCs w:val="20"/>
        </w:rPr>
      </w:pPr>
      <w:r w:rsidRPr="00672CCC">
        <w:rPr>
          <w:rFonts w:ascii="Verdana" w:hAnsi="Verdana"/>
          <w:sz w:val="20"/>
          <w:szCs w:val="20"/>
        </w:rPr>
        <w:t xml:space="preserve">Conversion by Nordic Maritime and lending banks of USD 70.2 million of debt and an interest rate swap with a market value of USD 1.9 million to equity.  350,520,274 shares at a nominal value of DKK 0.10 was issued thereby increasing the nominal share capital by USD 6.5 million.  </w:t>
      </w:r>
      <w:r w:rsidR="00B06CA9">
        <w:rPr>
          <w:rFonts w:ascii="Verdana" w:hAnsi="Verdana"/>
          <w:sz w:val="20"/>
          <w:szCs w:val="20"/>
        </w:rPr>
        <w:t xml:space="preserve">Based on the transaction price of USD 35.0 million paid by Nordic Maritime for a post-restructuring ownership share of 75% of the share capital </w:t>
      </w:r>
      <w:r w:rsidR="0072732C">
        <w:rPr>
          <w:rFonts w:ascii="Verdana" w:hAnsi="Verdana"/>
          <w:sz w:val="20"/>
          <w:szCs w:val="20"/>
        </w:rPr>
        <w:t>(</w:t>
      </w:r>
      <w:r w:rsidR="00B06CA9">
        <w:rPr>
          <w:rFonts w:ascii="Verdana" w:hAnsi="Verdana"/>
          <w:sz w:val="20"/>
          <w:szCs w:val="20"/>
        </w:rPr>
        <w:t>before they exercised their option to subscribe for additional shares), the total value of shares issued was USD 42.0 million for the debt conversion of USD 72.1 million; and</w:t>
      </w:r>
    </w:p>
    <w:p w:rsidR="00672CCC" w:rsidRPr="00672CCC" w:rsidRDefault="00672CCC" w:rsidP="00755918">
      <w:pPr>
        <w:pStyle w:val="ListParagraph"/>
        <w:autoSpaceDE w:val="0"/>
        <w:autoSpaceDN w:val="0"/>
        <w:adjustRightInd w:val="0"/>
        <w:ind w:left="900" w:hanging="360"/>
        <w:jc w:val="both"/>
        <w:rPr>
          <w:rFonts w:ascii="Verdana" w:hAnsi="Verdana"/>
          <w:sz w:val="20"/>
          <w:szCs w:val="20"/>
        </w:rPr>
      </w:pPr>
    </w:p>
    <w:p w:rsidR="00672CCC" w:rsidRPr="00705E35" w:rsidRDefault="00672CCC" w:rsidP="00755918">
      <w:pPr>
        <w:pStyle w:val="ListParagraph"/>
        <w:numPr>
          <w:ilvl w:val="0"/>
          <w:numId w:val="21"/>
        </w:numPr>
        <w:autoSpaceDE w:val="0"/>
        <w:autoSpaceDN w:val="0"/>
        <w:adjustRightInd w:val="0"/>
        <w:ind w:left="900"/>
        <w:jc w:val="both"/>
        <w:rPr>
          <w:rFonts w:ascii="Verdana" w:hAnsi="Verdana"/>
          <w:sz w:val="20"/>
          <w:szCs w:val="20"/>
        </w:rPr>
      </w:pPr>
      <w:r w:rsidRPr="00705E35">
        <w:rPr>
          <w:rFonts w:ascii="Verdana" w:hAnsi="Verdana"/>
          <w:sz w:val="20"/>
          <w:szCs w:val="20"/>
        </w:rPr>
        <w:t>Nordic Maritime exercised their option to subscribe for shares by injecting an additional USD 2.0 million in liquid funds to the Company.  The option was exercised resulting in issuance of 16,691,432 shares at a nominal value of DKK 0.1 each thus increasing Nordic Maritime’s total shareholding to 76.03% of the total issued share capital and resulting in an increase of the nominal share capital of USD 0.3 million.</w:t>
      </w:r>
    </w:p>
    <w:p w:rsidR="00672CCC" w:rsidRDefault="00672CCC" w:rsidP="004828C2">
      <w:pPr>
        <w:autoSpaceDE w:val="0"/>
        <w:autoSpaceDN w:val="0"/>
        <w:adjustRightInd w:val="0"/>
        <w:spacing w:after="0" w:line="240" w:lineRule="auto"/>
        <w:jc w:val="both"/>
        <w:rPr>
          <w:rFonts w:ascii="Verdana" w:hAnsi="Verdana" w:cs="Frutiger-Bold"/>
          <w:bCs/>
          <w:i/>
          <w:sz w:val="20"/>
          <w:szCs w:val="20"/>
          <w:lang w:val="en-GB"/>
        </w:rPr>
      </w:pPr>
    </w:p>
    <w:p w:rsidR="00672CCC" w:rsidRPr="00755918" w:rsidRDefault="00672CCC" w:rsidP="00755918">
      <w:pPr>
        <w:pStyle w:val="ListParagraph"/>
        <w:numPr>
          <w:ilvl w:val="0"/>
          <w:numId w:val="9"/>
        </w:numPr>
        <w:autoSpaceDE w:val="0"/>
        <w:autoSpaceDN w:val="0"/>
        <w:adjustRightInd w:val="0"/>
        <w:ind w:left="540" w:hanging="540"/>
        <w:jc w:val="both"/>
        <w:rPr>
          <w:rFonts w:ascii="Verdana" w:hAnsi="Verdana" w:cs="Frutiger-Light"/>
          <w:sz w:val="20"/>
          <w:szCs w:val="20"/>
        </w:rPr>
      </w:pPr>
      <w:r w:rsidRPr="00755918">
        <w:rPr>
          <w:rFonts w:ascii="Verdana" w:hAnsi="Verdana" w:cs="Frutiger-Bold"/>
          <w:bCs/>
          <w:i/>
          <w:sz w:val="20"/>
          <w:szCs w:val="20"/>
        </w:rPr>
        <w:t>Liabilities</w:t>
      </w:r>
    </w:p>
    <w:p w:rsidR="00672CCC" w:rsidRDefault="00672CCC" w:rsidP="00755918">
      <w:pPr>
        <w:autoSpaceDE w:val="0"/>
        <w:autoSpaceDN w:val="0"/>
        <w:adjustRightInd w:val="0"/>
        <w:spacing w:after="0" w:line="240" w:lineRule="auto"/>
        <w:ind w:left="540"/>
        <w:jc w:val="both"/>
        <w:rPr>
          <w:rFonts w:ascii="Verdana" w:hAnsi="Verdana"/>
          <w:sz w:val="20"/>
          <w:szCs w:val="20"/>
          <w:lang w:val="en-GB"/>
        </w:rPr>
      </w:pPr>
      <w:r w:rsidRPr="00EF3F29">
        <w:rPr>
          <w:rFonts w:ascii="Verdana" w:hAnsi="Verdana"/>
          <w:sz w:val="20"/>
          <w:szCs w:val="20"/>
          <w:lang w:val="en-GB"/>
        </w:rPr>
        <w:t>Total liabilities amounted to USD</w:t>
      </w:r>
      <w:r w:rsidR="004E480E">
        <w:rPr>
          <w:rFonts w:ascii="Verdana" w:hAnsi="Verdana"/>
          <w:sz w:val="20"/>
          <w:szCs w:val="20"/>
          <w:lang w:val="en-GB"/>
        </w:rPr>
        <w:t xml:space="preserve"> 109.6</w:t>
      </w:r>
      <w:r>
        <w:rPr>
          <w:rFonts w:ascii="Verdana" w:hAnsi="Verdana"/>
          <w:sz w:val="20"/>
          <w:szCs w:val="20"/>
          <w:lang w:val="en-GB"/>
        </w:rPr>
        <w:t xml:space="preserve"> million (USD 195.7 million).  The Group’s interest-bearing debt amounted to USD 103.9 million (USD 185.2 million) comprising mainly a new long-term loan (USD 100.0 million) and a short-term working capital facility (USD 4.0 million).  </w:t>
      </w:r>
    </w:p>
    <w:p w:rsidR="00672CCC" w:rsidRDefault="00672CCC" w:rsidP="00755918">
      <w:pPr>
        <w:autoSpaceDE w:val="0"/>
        <w:autoSpaceDN w:val="0"/>
        <w:adjustRightInd w:val="0"/>
        <w:spacing w:after="0" w:line="240" w:lineRule="auto"/>
        <w:ind w:left="540"/>
        <w:jc w:val="both"/>
        <w:rPr>
          <w:rFonts w:ascii="Verdana" w:hAnsi="Verdana"/>
          <w:sz w:val="20"/>
          <w:szCs w:val="20"/>
          <w:lang w:val="en-GB"/>
        </w:rPr>
      </w:pPr>
    </w:p>
    <w:p w:rsidR="00672CCC" w:rsidRPr="00E151E6" w:rsidRDefault="00672CCC" w:rsidP="00755918">
      <w:pPr>
        <w:autoSpaceDE w:val="0"/>
        <w:autoSpaceDN w:val="0"/>
        <w:adjustRightInd w:val="0"/>
        <w:spacing w:after="0" w:line="240" w:lineRule="auto"/>
        <w:ind w:left="540"/>
        <w:jc w:val="both"/>
        <w:rPr>
          <w:rFonts w:ascii="Verdana" w:hAnsi="Verdana"/>
          <w:sz w:val="20"/>
          <w:szCs w:val="20"/>
          <w:lang w:val="en-GB"/>
        </w:rPr>
      </w:pPr>
      <w:r>
        <w:rPr>
          <w:rFonts w:ascii="Verdana" w:hAnsi="Verdana"/>
          <w:sz w:val="20"/>
          <w:szCs w:val="20"/>
          <w:lang w:val="en-GB"/>
        </w:rPr>
        <w:t>The decrease in total liabilities was mainly a result of the debt to equity conversion under the restructuring (USD 72.1 million) and the assignment of the vendor note to Clipper (USD 15.1 million).  Post-restructuring, the remaining loan of USD 100.0 million was refinanced to a new 7-year facility and was reclassified from current liabilities to non-current liabilities.  A new working capital facility of USD 4.0 million was also drawn at the time of restructuring.</w:t>
      </w:r>
    </w:p>
    <w:p w:rsidR="00672CCC" w:rsidRPr="00EF3F29" w:rsidRDefault="00672CCC" w:rsidP="004828C2">
      <w:pPr>
        <w:autoSpaceDE w:val="0"/>
        <w:autoSpaceDN w:val="0"/>
        <w:adjustRightInd w:val="0"/>
        <w:spacing w:after="0" w:line="240" w:lineRule="auto"/>
        <w:jc w:val="both"/>
        <w:rPr>
          <w:rFonts w:ascii="Verdana" w:hAnsi="Verdana" w:cs="Frutiger-Light"/>
          <w:i/>
          <w:sz w:val="20"/>
          <w:szCs w:val="20"/>
          <w:highlight w:val="yellow"/>
          <w:lang w:val="en-GB"/>
        </w:rPr>
      </w:pPr>
    </w:p>
    <w:p w:rsidR="00672CCC" w:rsidRPr="00755918" w:rsidRDefault="00672CCC" w:rsidP="00755918">
      <w:pPr>
        <w:pStyle w:val="ListParagraph"/>
        <w:numPr>
          <w:ilvl w:val="0"/>
          <w:numId w:val="9"/>
        </w:numPr>
        <w:autoSpaceDE w:val="0"/>
        <w:autoSpaceDN w:val="0"/>
        <w:adjustRightInd w:val="0"/>
        <w:ind w:left="540" w:hanging="540"/>
        <w:jc w:val="both"/>
        <w:rPr>
          <w:rFonts w:ascii="Verdana" w:hAnsi="Verdana" w:cs="Frutiger-Bold"/>
          <w:bCs/>
          <w:i/>
          <w:sz w:val="20"/>
          <w:szCs w:val="20"/>
        </w:rPr>
      </w:pPr>
      <w:r w:rsidRPr="00755918">
        <w:rPr>
          <w:rFonts w:ascii="Verdana" w:hAnsi="Verdana" w:cs="Frutiger-Bold"/>
          <w:bCs/>
          <w:i/>
          <w:sz w:val="20"/>
          <w:szCs w:val="20"/>
        </w:rPr>
        <w:t>Cash flow</w:t>
      </w:r>
    </w:p>
    <w:p w:rsidR="00672CCC" w:rsidRDefault="00672CCC" w:rsidP="00755918">
      <w:pPr>
        <w:spacing w:after="0" w:line="240" w:lineRule="auto"/>
        <w:ind w:left="540"/>
        <w:jc w:val="both"/>
        <w:rPr>
          <w:rFonts w:ascii="Verdana" w:hAnsi="Verdana"/>
          <w:sz w:val="20"/>
          <w:szCs w:val="20"/>
          <w:lang w:val="en-GB"/>
        </w:rPr>
      </w:pPr>
      <w:r w:rsidRPr="00EF3F29">
        <w:rPr>
          <w:rFonts w:ascii="Verdana" w:hAnsi="Verdana"/>
          <w:sz w:val="20"/>
          <w:szCs w:val="20"/>
          <w:lang w:val="en-GB"/>
        </w:rPr>
        <w:t xml:space="preserve">Cash flow from operations amounted to USD </w:t>
      </w:r>
      <w:r>
        <w:rPr>
          <w:rFonts w:ascii="Verdana" w:hAnsi="Verdana"/>
          <w:sz w:val="20"/>
          <w:szCs w:val="20"/>
          <w:lang w:val="en-GB"/>
        </w:rPr>
        <w:t>-5.8</w:t>
      </w:r>
      <w:r w:rsidRPr="00EF3F29">
        <w:rPr>
          <w:rFonts w:ascii="Verdana" w:hAnsi="Verdana"/>
          <w:sz w:val="20"/>
          <w:szCs w:val="20"/>
          <w:lang w:val="en-GB"/>
        </w:rPr>
        <w:t xml:space="preserve"> million (USD </w:t>
      </w:r>
      <w:r>
        <w:rPr>
          <w:rFonts w:ascii="Verdana" w:hAnsi="Verdana"/>
          <w:sz w:val="20"/>
          <w:szCs w:val="20"/>
          <w:lang w:val="en-GB"/>
        </w:rPr>
        <w:t>-5.0</w:t>
      </w:r>
      <w:r w:rsidRPr="00EF3F29">
        <w:rPr>
          <w:rFonts w:ascii="Verdana" w:hAnsi="Verdana"/>
          <w:sz w:val="20"/>
          <w:szCs w:val="20"/>
          <w:lang w:val="en-GB"/>
        </w:rPr>
        <w:t xml:space="preserve"> million</w:t>
      </w:r>
      <w:r>
        <w:rPr>
          <w:rFonts w:ascii="Verdana" w:hAnsi="Verdana"/>
          <w:sz w:val="20"/>
          <w:szCs w:val="20"/>
          <w:lang w:val="en-GB"/>
        </w:rPr>
        <w:t>).</w:t>
      </w:r>
    </w:p>
    <w:p w:rsidR="004828C2" w:rsidRPr="00D133B5" w:rsidRDefault="004828C2" w:rsidP="00755918">
      <w:pPr>
        <w:spacing w:after="0" w:line="240" w:lineRule="auto"/>
        <w:ind w:left="540"/>
        <w:jc w:val="both"/>
        <w:rPr>
          <w:rFonts w:ascii="Verdana" w:hAnsi="Verdana"/>
          <w:sz w:val="20"/>
          <w:szCs w:val="20"/>
          <w:lang w:val="en-GB"/>
        </w:rPr>
      </w:pPr>
    </w:p>
    <w:p w:rsidR="00672CCC" w:rsidRDefault="00672CCC" w:rsidP="00755918">
      <w:pPr>
        <w:spacing w:after="0" w:line="240" w:lineRule="auto"/>
        <w:ind w:left="540"/>
        <w:jc w:val="both"/>
        <w:rPr>
          <w:rFonts w:ascii="Verdana" w:hAnsi="Verdana"/>
          <w:sz w:val="20"/>
          <w:szCs w:val="20"/>
          <w:lang w:val="en-GB"/>
        </w:rPr>
      </w:pPr>
      <w:r w:rsidRPr="00EF3F29">
        <w:rPr>
          <w:rFonts w:ascii="Verdana" w:hAnsi="Verdana"/>
          <w:sz w:val="20"/>
          <w:szCs w:val="20"/>
          <w:lang w:val="en-GB"/>
        </w:rPr>
        <w:t xml:space="preserve">Cash flow from investing activities amounted to </w:t>
      </w:r>
      <w:r>
        <w:rPr>
          <w:rFonts w:ascii="Verdana" w:hAnsi="Verdana"/>
          <w:sz w:val="20"/>
          <w:szCs w:val="20"/>
          <w:lang w:val="en-GB"/>
        </w:rPr>
        <w:t>USD -0.8 million</w:t>
      </w:r>
      <w:r w:rsidRPr="00EF3F29">
        <w:rPr>
          <w:rFonts w:ascii="Verdana" w:hAnsi="Verdana"/>
          <w:sz w:val="20"/>
          <w:szCs w:val="20"/>
          <w:lang w:val="en-GB"/>
        </w:rPr>
        <w:t xml:space="preserve"> (USD </w:t>
      </w:r>
      <w:r>
        <w:rPr>
          <w:rFonts w:ascii="Verdana" w:hAnsi="Verdana"/>
          <w:sz w:val="20"/>
          <w:szCs w:val="20"/>
          <w:lang w:val="en-GB"/>
        </w:rPr>
        <w:t>9.6</w:t>
      </w:r>
      <w:r w:rsidRPr="00EF3F29">
        <w:rPr>
          <w:rFonts w:ascii="Verdana" w:hAnsi="Verdana"/>
          <w:sz w:val="20"/>
          <w:szCs w:val="20"/>
          <w:lang w:val="en-GB"/>
        </w:rPr>
        <w:t xml:space="preserve"> million)</w:t>
      </w:r>
      <w:r>
        <w:rPr>
          <w:rFonts w:ascii="Verdana" w:hAnsi="Verdana"/>
          <w:sz w:val="20"/>
          <w:szCs w:val="20"/>
          <w:lang w:val="en-GB"/>
        </w:rPr>
        <w:t>.  The positive cash flow from investing activities in 2012 was due to the sale of chemical tanker activities.</w:t>
      </w:r>
    </w:p>
    <w:p w:rsidR="004828C2" w:rsidRDefault="004828C2" w:rsidP="00755918">
      <w:pPr>
        <w:spacing w:after="0" w:line="240" w:lineRule="auto"/>
        <w:ind w:left="540"/>
        <w:jc w:val="both"/>
        <w:rPr>
          <w:rFonts w:ascii="Verdana" w:hAnsi="Verdana"/>
          <w:sz w:val="20"/>
          <w:szCs w:val="20"/>
          <w:lang w:val="en-GB"/>
        </w:rPr>
      </w:pPr>
    </w:p>
    <w:p w:rsidR="0072732C" w:rsidRDefault="0072732C" w:rsidP="004828C2">
      <w:pPr>
        <w:spacing w:after="0" w:line="240" w:lineRule="auto"/>
        <w:jc w:val="both"/>
        <w:rPr>
          <w:rFonts w:ascii="Verdana" w:hAnsi="Verdana"/>
          <w:sz w:val="20"/>
          <w:szCs w:val="20"/>
          <w:lang w:val="en-GB"/>
        </w:rPr>
      </w:pPr>
    </w:p>
    <w:p w:rsidR="0072732C" w:rsidRDefault="0072732C" w:rsidP="004828C2">
      <w:pPr>
        <w:spacing w:after="0" w:line="240" w:lineRule="auto"/>
        <w:jc w:val="both"/>
        <w:rPr>
          <w:rFonts w:ascii="Verdana" w:hAnsi="Verdana"/>
          <w:sz w:val="20"/>
          <w:szCs w:val="20"/>
          <w:lang w:val="en-GB"/>
        </w:rPr>
      </w:pPr>
    </w:p>
    <w:p w:rsidR="00672CCC" w:rsidRDefault="00672CCC" w:rsidP="00755918">
      <w:pPr>
        <w:spacing w:after="0" w:line="240" w:lineRule="auto"/>
        <w:ind w:left="540"/>
        <w:jc w:val="both"/>
        <w:rPr>
          <w:rFonts w:ascii="Verdana" w:hAnsi="Verdana"/>
          <w:sz w:val="20"/>
          <w:szCs w:val="20"/>
          <w:lang w:val="en-GB"/>
        </w:rPr>
      </w:pPr>
      <w:r w:rsidRPr="00EF3F29">
        <w:rPr>
          <w:rFonts w:ascii="Verdana" w:hAnsi="Verdana"/>
          <w:sz w:val="20"/>
          <w:szCs w:val="20"/>
          <w:lang w:val="en-GB"/>
        </w:rPr>
        <w:t>Cash flow from financing activities amounted to</w:t>
      </w:r>
      <w:r>
        <w:rPr>
          <w:rFonts w:ascii="Verdana" w:hAnsi="Verdana"/>
          <w:sz w:val="20"/>
          <w:szCs w:val="20"/>
          <w:lang w:val="en-GB"/>
        </w:rPr>
        <w:t xml:space="preserve"> USD 5.9 million (USD -10</w:t>
      </w:r>
      <w:r w:rsidR="0024527F">
        <w:rPr>
          <w:rFonts w:ascii="Verdana" w:hAnsi="Verdana"/>
          <w:sz w:val="20"/>
          <w:szCs w:val="20"/>
          <w:lang w:val="en-GB"/>
        </w:rPr>
        <w:t>.0</w:t>
      </w:r>
      <w:r>
        <w:rPr>
          <w:rFonts w:ascii="Verdana" w:hAnsi="Verdana"/>
          <w:sz w:val="20"/>
          <w:szCs w:val="20"/>
          <w:lang w:val="en-GB"/>
        </w:rPr>
        <w:t xml:space="preserve"> million) arising from the USD 2.0 million equity injectio</w:t>
      </w:r>
      <w:r w:rsidR="0024527F">
        <w:rPr>
          <w:rFonts w:ascii="Verdana" w:hAnsi="Verdana"/>
          <w:sz w:val="20"/>
          <w:szCs w:val="20"/>
          <w:lang w:val="en-GB"/>
        </w:rPr>
        <w:t>n and drawing down of the short-</w:t>
      </w:r>
      <w:r>
        <w:rPr>
          <w:rFonts w:ascii="Verdana" w:hAnsi="Verdana"/>
          <w:sz w:val="20"/>
          <w:szCs w:val="20"/>
          <w:lang w:val="en-GB"/>
        </w:rPr>
        <w:t>term working capital facility.  The negative cash flow from financing activities in 2012 was due to the repayment on the mortgage debt.</w:t>
      </w:r>
    </w:p>
    <w:p w:rsidR="0072732C" w:rsidRDefault="0072732C" w:rsidP="00755918">
      <w:pPr>
        <w:spacing w:after="0" w:line="240" w:lineRule="auto"/>
        <w:ind w:left="540"/>
        <w:jc w:val="both"/>
        <w:rPr>
          <w:rFonts w:ascii="Verdana" w:hAnsi="Verdana"/>
          <w:sz w:val="20"/>
          <w:szCs w:val="20"/>
          <w:lang w:val="en-GB"/>
        </w:rPr>
      </w:pPr>
    </w:p>
    <w:p w:rsidR="00672CCC" w:rsidRPr="00EF3F29" w:rsidRDefault="00672CCC" w:rsidP="00755918">
      <w:pPr>
        <w:ind w:left="540"/>
        <w:jc w:val="both"/>
        <w:rPr>
          <w:rFonts w:ascii="Verdana" w:hAnsi="Verdana"/>
          <w:sz w:val="20"/>
          <w:szCs w:val="20"/>
          <w:lang w:val="en-GB"/>
        </w:rPr>
      </w:pPr>
      <w:r>
        <w:rPr>
          <w:rFonts w:ascii="Verdana" w:hAnsi="Verdana"/>
          <w:sz w:val="20"/>
          <w:szCs w:val="20"/>
          <w:lang w:val="en-GB"/>
        </w:rPr>
        <w:t>Cash flow from discontinu</w:t>
      </w:r>
      <w:r w:rsidR="00755918">
        <w:rPr>
          <w:rFonts w:ascii="Verdana" w:hAnsi="Verdana"/>
          <w:sz w:val="20"/>
          <w:szCs w:val="20"/>
          <w:lang w:val="en-GB"/>
        </w:rPr>
        <w:t>ed</w:t>
      </w:r>
      <w:r>
        <w:rPr>
          <w:rFonts w:ascii="Verdana" w:hAnsi="Verdana"/>
          <w:sz w:val="20"/>
          <w:szCs w:val="20"/>
          <w:lang w:val="en-GB"/>
        </w:rPr>
        <w:t xml:space="preserve"> activities amounted to USD 0 million (USD -2.8 million).</w:t>
      </w:r>
    </w:p>
    <w:p w:rsidR="00672CCC" w:rsidRDefault="00672CCC" w:rsidP="00755918">
      <w:pPr>
        <w:ind w:left="540"/>
        <w:jc w:val="both"/>
        <w:rPr>
          <w:rFonts w:ascii="Verdana" w:hAnsi="Verdana"/>
          <w:sz w:val="20"/>
          <w:szCs w:val="20"/>
          <w:lang w:val="en-GB"/>
        </w:rPr>
      </w:pPr>
      <w:r w:rsidRPr="00EF3F29">
        <w:rPr>
          <w:rFonts w:ascii="Verdana" w:hAnsi="Verdana"/>
          <w:sz w:val="20"/>
          <w:szCs w:val="20"/>
          <w:lang w:val="en-GB"/>
        </w:rPr>
        <w:t xml:space="preserve">Cash flow for the year thus amounted to USD </w:t>
      </w:r>
      <w:r>
        <w:rPr>
          <w:rFonts w:ascii="Verdana" w:hAnsi="Verdana"/>
          <w:sz w:val="20"/>
          <w:szCs w:val="20"/>
          <w:lang w:val="en-GB"/>
        </w:rPr>
        <w:t>-0.7</w:t>
      </w:r>
      <w:r w:rsidRPr="00EF3F29">
        <w:rPr>
          <w:rFonts w:ascii="Verdana" w:hAnsi="Verdana"/>
          <w:sz w:val="20"/>
          <w:szCs w:val="20"/>
          <w:lang w:val="en-GB"/>
        </w:rPr>
        <w:t xml:space="preserve"> million (USD </w:t>
      </w:r>
      <w:r>
        <w:rPr>
          <w:rFonts w:ascii="Verdana" w:hAnsi="Verdana"/>
          <w:sz w:val="20"/>
          <w:szCs w:val="20"/>
          <w:lang w:val="en-GB"/>
        </w:rPr>
        <w:t>-8.2</w:t>
      </w:r>
      <w:r w:rsidRPr="00EF3F29">
        <w:rPr>
          <w:rFonts w:ascii="Verdana" w:hAnsi="Verdana"/>
          <w:sz w:val="20"/>
          <w:szCs w:val="20"/>
          <w:lang w:val="en-GB"/>
        </w:rPr>
        <w:t xml:space="preserve"> million), bringing the cash balance at year end to </w:t>
      </w:r>
      <w:r w:rsidRPr="003C32C9">
        <w:rPr>
          <w:rFonts w:ascii="Verdana" w:hAnsi="Verdana"/>
          <w:sz w:val="20"/>
          <w:szCs w:val="20"/>
          <w:lang w:val="en-GB"/>
        </w:rPr>
        <w:t>USD 5.4</w:t>
      </w:r>
      <w:r>
        <w:rPr>
          <w:rFonts w:ascii="Verdana" w:hAnsi="Verdana"/>
          <w:sz w:val="20"/>
          <w:szCs w:val="20"/>
          <w:lang w:val="en-GB"/>
        </w:rPr>
        <w:t xml:space="preserve"> million (USD 6.1</w:t>
      </w:r>
      <w:r w:rsidRPr="00EF3F29">
        <w:rPr>
          <w:rFonts w:ascii="Verdana" w:hAnsi="Verdana"/>
          <w:sz w:val="20"/>
          <w:szCs w:val="20"/>
          <w:lang w:val="en-GB"/>
        </w:rPr>
        <w:t xml:space="preserve"> million).</w:t>
      </w:r>
    </w:p>
    <w:p w:rsidR="00672CCC" w:rsidRPr="001E0E6A" w:rsidRDefault="00755918" w:rsidP="00672CCC">
      <w:pPr>
        <w:pStyle w:val="Subtitle"/>
        <w:spacing w:before="360" w:after="0"/>
        <w:jc w:val="both"/>
        <w:rPr>
          <w:rFonts w:ascii="Verdana" w:eastAsiaTheme="minorHAnsi" w:hAnsi="Verdana" w:cstheme="minorBidi"/>
          <w:color w:val="auto"/>
          <w:spacing w:val="0"/>
          <w:sz w:val="20"/>
          <w:szCs w:val="20"/>
          <w:lang w:val="en-GB"/>
        </w:rPr>
      </w:pPr>
      <w:r>
        <w:rPr>
          <w:rFonts w:ascii="Verdana" w:eastAsiaTheme="minorHAnsi" w:hAnsi="Verdana" w:cs="Frutiger-Bold"/>
          <w:b/>
          <w:bCs/>
          <w:i w:val="0"/>
          <w:iCs w:val="0"/>
          <w:color w:val="auto"/>
          <w:spacing w:val="0"/>
          <w:sz w:val="20"/>
          <w:szCs w:val="20"/>
          <w:lang w:val="en-GB"/>
        </w:rPr>
        <w:t>Discontinued</w:t>
      </w:r>
      <w:r w:rsidR="00672CCC" w:rsidRPr="00E76AAD">
        <w:rPr>
          <w:rFonts w:ascii="Verdana" w:eastAsiaTheme="minorHAnsi" w:hAnsi="Verdana" w:cs="Frutiger-Bold"/>
          <w:b/>
          <w:bCs/>
          <w:i w:val="0"/>
          <w:iCs w:val="0"/>
          <w:color w:val="auto"/>
          <w:spacing w:val="0"/>
          <w:sz w:val="20"/>
          <w:szCs w:val="20"/>
          <w:lang w:val="en-GB"/>
        </w:rPr>
        <w:t xml:space="preserve"> operations</w:t>
      </w:r>
      <w:r w:rsidR="00672CCC">
        <w:rPr>
          <w:rFonts w:ascii="Verdana" w:eastAsiaTheme="minorHAnsi" w:hAnsi="Verdana" w:cs="Frutiger-Bold"/>
          <w:b/>
          <w:bCs/>
          <w:i w:val="0"/>
          <w:iCs w:val="0"/>
          <w:color w:val="auto"/>
          <w:spacing w:val="0"/>
          <w:sz w:val="20"/>
          <w:szCs w:val="20"/>
          <w:lang w:val="en-GB"/>
        </w:rPr>
        <w:t xml:space="preserve"> in Year 2013</w:t>
      </w:r>
    </w:p>
    <w:p w:rsidR="00672CCC" w:rsidRPr="00D133B5" w:rsidRDefault="00672CCC" w:rsidP="00672CCC">
      <w:pPr>
        <w:jc w:val="both"/>
        <w:rPr>
          <w:rFonts w:ascii="Verdana" w:hAnsi="Verdana"/>
          <w:sz w:val="20"/>
          <w:szCs w:val="20"/>
          <w:lang w:val="en-GB"/>
        </w:rPr>
      </w:pPr>
      <w:r>
        <w:rPr>
          <w:rFonts w:ascii="Verdana" w:hAnsi="Verdana"/>
          <w:sz w:val="20"/>
          <w:szCs w:val="20"/>
          <w:lang w:val="en-GB"/>
        </w:rPr>
        <w:t xml:space="preserve">As at 31 December 2013, there were no discontinued operations. </w:t>
      </w:r>
      <w:r w:rsidRPr="00D133B5">
        <w:rPr>
          <w:rFonts w:ascii="Verdana" w:hAnsi="Verdana"/>
          <w:sz w:val="20"/>
          <w:szCs w:val="20"/>
          <w:lang w:val="en-GB"/>
        </w:rPr>
        <w:t>The result of discontinu</w:t>
      </w:r>
      <w:r w:rsidR="00755918">
        <w:rPr>
          <w:rFonts w:ascii="Verdana" w:hAnsi="Verdana"/>
          <w:sz w:val="20"/>
          <w:szCs w:val="20"/>
          <w:lang w:val="en-GB"/>
        </w:rPr>
        <w:t xml:space="preserve">ed </w:t>
      </w:r>
      <w:r w:rsidRPr="00D133B5">
        <w:rPr>
          <w:rFonts w:ascii="Verdana" w:hAnsi="Verdana"/>
          <w:sz w:val="20"/>
          <w:szCs w:val="20"/>
          <w:lang w:val="en-GB"/>
        </w:rPr>
        <w:t>operations</w:t>
      </w:r>
      <w:r>
        <w:rPr>
          <w:rFonts w:ascii="Verdana" w:hAnsi="Verdana"/>
          <w:sz w:val="20"/>
          <w:szCs w:val="20"/>
          <w:lang w:val="en-GB"/>
        </w:rPr>
        <w:t xml:space="preserve"> in Year 2012</w:t>
      </w:r>
      <w:r w:rsidRPr="00D133B5">
        <w:rPr>
          <w:rFonts w:ascii="Verdana" w:hAnsi="Verdana"/>
          <w:sz w:val="20"/>
          <w:szCs w:val="20"/>
          <w:lang w:val="en-GB"/>
        </w:rPr>
        <w:t xml:space="preserve"> was USD </w:t>
      </w:r>
      <w:r>
        <w:rPr>
          <w:rFonts w:ascii="Verdana" w:hAnsi="Verdana"/>
          <w:sz w:val="20"/>
          <w:szCs w:val="20"/>
          <w:lang w:val="en-GB"/>
        </w:rPr>
        <w:t>-9.3</w:t>
      </w:r>
      <w:r w:rsidRPr="00D133B5">
        <w:rPr>
          <w:rFonts w:ascii="Verdana" w:hAnsi="Verdana"/>
          <w:sz w:val="20"/>
          <w:szCs w:val="20"/>
          <w:lang w:val="en-GB"/>
        </w:rPr>
        <w:t xml:space="preserve"> million including write-downs. </w:t>
      </w:r>
      <w:r>
        <w:rPr>
          <w:rFonts w:ascii="Verdana" w:hAnsi="Verdana"/>
          <w:sz w:val="20"/>
          <w:szCs w:val="20"/>
          <w:lang w:val="en-GB"/>
        </w:rPr>
        <w:t xml:space="preserve"> </w:t>
      </w:r>
      <w:r w:rsidRPr="00D133B5">
        <w:rPr>
          <w:rFonts w:ascii="Verdana" w:hAnsi="Verdana"/>
          <w:sz w:val="20"/>
          <w:szCs w:val="20"/>
          <w:lang w:val="en-GB"/>
        </w:rPr>
        <w:t xml:space="preserve">For further details, </w:t>
      </w:r>
      <w:r w:rsidRPr="00BD0683">
        <w:rPr>
          <w:rFonts w:ascii="Verdana" w:hAnsi="Verdana"/>
          <w:sz w:val="20"/>
          <w:szCs w:val="20"/>
          <w:lang w:val="en-GB"/>
        </w:rPr>
        <w:t>please refe</w:t>
      </w:r>
      <w:r>
        <w:rPr>
          <w:rFonts w:ascii="Verdana" w:hAnsi="Verdana"/>
          <w:sz w:val="20"/>
          <w:szCs w:val="20"/>
          <w:lang w:val="en-GB"/>
        </w:rPr>
        <w:t>r to N</w:t>
      </w:r>
      <w:r w:rsidRPr="00BD0683">
        <w:rPr>
          <w:rFonts w:ascii="Verdana" w:hAnsi="Verdana"/>
          <w:sz w:val="20"/>
          <w:szCs w:val="20"/>
          <w:lang w:val="en-GB"/>
        </w:rPr>
        <w:t xml:space="preserve">ote </w:t>
      </w:r>
      <w:r>
        <w:rPr>
          <w:rFonts w:ascii="Verdana" w:hAnsi="Verdana"/>
          <w:sz w:val="20"/>
          <w:szCs w:val="20"/>
          <w:lang w:val="en-GB"/>
        </w:rPr>
        <w:t>3</w:t>
      </w:r>
      <w:r w:rsidRPr="00BD0683">
        <w:rPr>
          <w:rFonts w:ascii="Verdana" w:hAnsi="Verdana"/>
          <w:sz w:val="20"/>
          <w:szCs w:val="20"/>
          <w:lang w:val="en-GB"/>
        </w:rPr>
        <w:t>.</w:t>
      </w:r>
    </w:p>
    <w:p w:rsidR="00672CCC" w:rsidRPr="00D133B5" w:rsidRDefault="00755918" w:rsidP="00672CCC">
      <w:pPr>
        <w:pStyle w:val="Subtitle"/>
        <w:spacing w:before="360" w:after="0"/>
        <w:jc w:val="both"/>
        <w:rPr>
          <w:rFonts w:ascii="Verdana" w:eastAsiaTheme="minorHAnsi" w:hAnsi="Verdana" w:cs="Frutiger-Bold"/>
          <w:b/>
          <w:bCs/>
          <w:i w:val="0"/>
          <w:iCs w:val="0"/>
          <w:color w:val="auto"/>
          <w:spacing w:val="0"/>
          <w:sz w:val="20"/>
          <w:szCs w:val="20"/>
          <w:lang w:val="en-GB"/>
        </w:rPr>
      </w:pPr>
      <w:r>
        <w:rPr>
          <w:rFonts w:ascii="Verdana" w:eastAsiaTheme="minorHAnsi" w:hAnsi="Verdana" w:cs="Frutiger-Bold"/>
          <w:b/>
          <w:bCs/>
          <w:i w:val="0"/>
          <w:iCs w:val="0"/>
          <w:color w:val="auto"/>
          <w:spacing w:val="0"/>
          <w:sz w:val="20"/>
          <w:szCs w:val="20"/>
          <w:lang w:val="en-GB"/>
        </w:rPr>
        <w:t xml:space="preserve">Financial highlights of the </w:t>
      </w:r>
      <w:r w:rsidR="00672CCC" w:rsidRPr="00013AE8">
        <w:rPr>
          <w:rFonts w:ascii="Verdana" w:eastAsiaTheme="minorHAnsi" w:hAnsi="Verdana" w:cs="Frutiger-Bold"/>
          <w:b/>
          <w:bCs/>
          <w:i w:val="0"/>
          <w:iCs w:val="0"/>
          <w:color w:val="auto"/>
          <w:spacing w:val="0"/>
          <w:sz w:val="20"/>
          <w:szCs w:val="20"/>
          <w:lang w:val="en-GB"/>
        </w:rPr>
        <w:t>Company</w:t>
      </w:r>
      <w:r>
        <w:rPr>
          <w:rFonts w:ascii="Verdana" w:eastAsiaTheme="minorHAnsi" w:hAnsi="Verdana" w:cs="Frutiger-Bold"/>
          <w:b/>
          <w:bCs/>
          <w:i w:val="0"/>
          <w:iCs w:val="0"/>
          <w:color w:val="auto"/>
          <w:spacing w:val="0"/>
          <w:sz w:val="20"/>
          <w:szCs w:val="20"/>
          <w:lang w:val="en-GB"/>
        </w:rPr>
        <w:t xml:space="preserve"> in </w:t>
      </w:r>
      <w:r w:rsidRPr="00755918">
        <w:rPr>
          <w:rFonts w:ascii="Verdana" w:eastAsiaTheme="minorHAnsi" w:hAnsi="Verdana" w:cs="Frutiger-Bold"/>
          <w:b/>
          <w:bCs/>
          <w:i w:val="0"/>
          <w:iCs w:val="0"/>
          <w:color w:val="000000" w:themeColor="text1"/>
          <w:spacing w:val="0"/>
          <w:sz w:val="20"/>
          <w:szCs w:val="20"/>
          <w:lang w:val="en-GB"/>
        </w:rPr>
        <w:t xml:space="preserve">2013 </w:t>
      </w:r>
      <w:r w:rsidRPr="00755918">
        <w:rPr>
          <w:rFonts w:ascii="Verdana" w:hAnsi="Verdana" w:cs="Frutiger-Light"/>
          <w:b/>
          <w:i w:val="0"/>
          <w:color w:val="000000" w:themeColor="text1"/>
          <w:sz w:val="20"/>
          <w:szCs w:val="20"/>
          <w:lang w:val="en-GB"/>
        </w:rPr>
        <w:t>(2012 figures in brackets)</w:t>
      </w:r>
    </w:p>
    <w:p w:rsidR="00672CCC" w:rsidRPr="00EF3F29" w:rsidRDefault="00672CCC" w:rsidP="00672CCC">
      <w:pPr>
        <w:jc w:val="both"/>
        <w:rPr>
          <w:rFonts w:ascii="Verdana" w:hAnsi="Verdana"/>
          <w:color w:val="FF0000"/>
          <w:sz w:val="20"/>
          <w:szCs w:val="20"/>
          <w:lang w:val="en-GB"/>
        </w:rPr>
      </w:pPr>
      <w:r w:rsidRPr="00EF3F29">
        <w:rPr>
          <w:rFonts w:ascii="Verdana" w:hAnsi="Verdana"/>
          <w:sz w:val="20"/>
          <w:szCs w:val="20"/>
          <w:lang w:val="en-GB"/>
        </w:rPr>
        <w:t xml:space="preserve">The </w:t>
      </w:r>
      <w:r>
        <w:rPr>
          <w:rFonts w:ascii="Verdana" w:hAnsi="Verdana"/>
          <w:sz w:val="20"/>
          <w:szCs w:val="20"/>
          <w:lang w:val="en-GB"/>
        </w:rPr>
        <w:t>Company reported a net result</w:t>
      </w:r>
      <w:r w:rsidRPr="00EF3F29">
        <w:rPr>
          <w:rFonts w:ascii="Verdana" w:hAnsi="Verdana"/>
          <w:sz w:val="20"/>
          <w:szCs w:val="20"/>
          <w:lang w:val="en-GB"/>
        </w:rPr>
        <w:t xml:space="preserve"> of USD</w:t>
      </w:r>
      <w:r w:rsidR="00120A68">
        <w:rPr>
          <w:rFonts w:ascii="Verdana" w:hAnsi="Verdana"/>
          <w:sz w:val="20"/>
          <w:szCs w:val="20"/>
          <w:lang w:val="en-GB"/>
        </w:rPr>
        <w:t xml:space="preserve"> 19.4</w:t>
      </w:r>
      <w:r w:rsidRPr="00EF3F29">
        <w:rPr>
          <w:rFonts w:ascii="Verdana" w:hAnsi="Verdana"/>
          <w:sz w:val="20"/>
          <w:szCs w:val="20"/>
          <w:lang w:val="en-GB"/>
        </w:rPr>
        <w:t xml:space="preserve"> million (USD </w:t>
      </w:r>
      <w:r>
        <w:rPr>
          <w:rFonts w:ascii="Verdana" w:hAnsi="Verdana"/>
          <w:sz w:val="20"/>
          <w:szCs w:val="20"/>
          <w:lang w:val="en-GB"/>
        </w:rPr>
        <w:t>-64.3</w:t>
      </w:r>
      <w:r w:rsidRPr="00EF3F29">
        <w:rPr>
          <w:rFonts w:ascii="Verdana" w:hAnsi="Verdana"/>
          <w:sz w:val="20"/>
          <w:szCs w:val="20"/>
          <w:lang w:val="en-GB"/>
        </w:rPr>
        <w:t xml:space="preserve"> </w:t>
      </w:r>
      <w:r>
        <w:rPr>
          <w:rFonts w:ascii="Verdana" w:hAnsi="Verdana"/>
          <w:sz w:val="20"/>
          <w:szCs w:val="20"/>
          <w:lang w:val="en-GB"/>
        </w:rPr>
        <w:t>million</w:t>
      </w:r>
      <w:r w:rsidRPr="00EF3F29">
        <w:rPr>
          <w:rFonts w:ascii="Verdana" w:hAnsi="Verdana"/>
          <w:sz w:val="20"/>
          <w:szCs w:val="20"/>
          <w:lang w:val="en-GB"/>
        </w:rPr>
        <w:t xml:space="preserve"> after</w:t>
      </w:r>
      <w:r>
        <w:rPr>
          <w:rFonts w:ascii="Verdana" w:hAnsi="Verdana"/>
          <w:sz w:val="20"/>
          <w:szCs w:val="20"/>
          <w:lang w:val="en-GB"/>
        </w:rPr>
        <w:t xml:space="preserve"> a</w:t>
      </w:r>
      <w:r w:rsidRPr="00EF3F29">
        <w:rPr>
          <w:rFonts w:ascii="Verdana" w:hAnsi="Verdana"/>
          <w:sz w:val="20"/>
          <w:szCs w:val="20"/>
          <w:lang w:val="en-GB"/>
        </w:rPr>
        <w:t xml:space="preserve"> write-down of USD </w:t>
      </w:r>
      <w:r>
        <w:rPr>
          <w:rFonts w:ascii="Verdana" w:hAnsi="Verdana"/>
          <w:sz w:val="20"/>
          <w:szCs w:val="20"/>
          <w:lang w:val="en-GB"/>
        </w:rPr>
        <w:t>10.9</w:t>
      </w:r>
      <w:r w:rsidRPr="00EF3F29">
        <w:rPr>
          <w:rFonts w:ascii="Verdana" w:hAnsi="Verdana"/>
          <w:sz w:val="20"/>
          <w:szCs w:val="20"/>
          <w:lang w:val="en-GB"/>
        </w:rPr>
        <w:t xml:space="preserve"> million</w:t>
      </w:r>
      <w:r w:rsidR="004E480E">
        <w:rPr>
          <w:rFonts w:ascii="Verdana" w:hAnsi="Verdana"/>
          <w:sz w:val="20"/>
          <w:szCs w:val="20"/>
          <w:lang w:val="en-GB"/>
        </w:rPr>
        <w:t>, expense relating to provision for subsidiaries of USD 26.7 million</w:t>
      </w:r>
      <w:r>
        <w:rPr>
          <w:rFonts w:ascii="Verdana" w:hAnsi="Verdana"/>
          <w:sz w:val="20"/>
          <w:szCs w:val="20"/>
          <w:lang w:val="en-GB"/>
        </w:rPr>
        <w:t xml:space="preserve"> and USD</w:t>
      </w:r>
      <w:r w:rsidR="00444B12">
        <w:rPr>
          <w:rFonts w:ascii="Verdana" w:hAnsi="Verdana"/>
          <w:sz w:val="20"/>
          <w:szCs w:val="20"/>
          <w:lang w:val="en-GB"/>
        </w:rPr>
        <w:t xml:space="preserve"> </w:t>
      </w:r>
      <w:r>
        <w:rPr>
          <w:rFonts w:ascii="Verdana" w:hAnsi="Verdana"/>
          <w:sz w:val="20"/>
          <w:szCs w:val="20"/>
          <w:lang w:val="en-GB"/>
        </w:rPr>
        <w:t>-9.3 million from discontinued operations</w:t>
      </w:r>
      <w:r w:rsidRPr="00EF3F29">
        <w:rPr>
          <w:rFonts w:ascii="Verdana" w:hAnsi="Verdana"/>
          <w:sz w:val="20"/>
          <w:szCs w:val="20"/>
          <w:lang w:val="en-GB"/>
        </w:rPr>
        <w:t>).</w:t>
      </w:r>
      <w:r>
        <w:rPr>
          <w:rFonts w:ascii="Verdana" w:hAnsi="Verdana"/>
          <w:sz w:val="20"/>
          <w:szCs w:val="20"/>
          <w:lang w:val="en-GB"/>
        </w:rPr>
        <w:t xml:space="preserve"> </w:t>
      </w:r>
      <w:r w:rsidRPr="00EF3F29">
        <w:rPr>
          <w:rFonts w:ascii="Verdana" w:hAnsi="Verdana"/>
          <w:sz w:val="20"/>
          <w:szCs w:val="20"/>
          <w:lang w:val="en-GB"/>
        </w:rPr>
        <w:t xml:space="preserve"> At 31 December 201</w:t>
      </w:r>
      <w:r>
        <w:rPr>
          <w:rFonts w:ascii="Verdana" w:hAnsi="Verdana"/>
          <w:sz w:val="20"/>
          <w:szCs w:val="20"/>
          <w:lang w:val="en-GB"/>
        </w:rPr>
        <w:t>3,</w:t>
      </w:r>
      <w:r w:rsidRPr="00EF3F29">
        <w:rPr>
          <w:rFonts w:ascii="Verdana" w:hAnsi="Verdana"/>
          <w:sz w:val="20"/>
          <w:szCs w:val="20"/>
          <w:lang w:val="en-GB"/>
        </w:rPr>
        <w:t xml:space="preserve"> the </w:t>
      </w:r>
      <w:r>
        <w:rPr>
          <w:rFonts w:ascii="Verdana" w:hAnsi="Verdana"/>
          <w:sz w:val="20"/>
          <w:szCs w:val="20"/>
          <w:lang w:val="en-GB"/>
        </w:rPr>
        <w:t>Company</w:t>
      </w:r>
      <w:r w:rsidRPr="00EF3F29">
        <w:rPr>
          <w:rFonts w:ascii="Verdana" w:hAnsi="Verdana"/>
          <w:sz w:val="20"/>
          <w:szCs w:val="20"/>
          <w:lang w:val="en-GB"/>
        </w:rPr>
        <w:t>’s balance sheet amounted to USD</w:t>
      </w:r>
      <w:r w:rsidR="00120A68">
        <w:rPr>
          <w:rFonts w:ascii="Verdana" w:hAnsi="Verdana"/>
          <w:sz w:val="20"/>
          <w:szCs w:val="20"/>
          <w:lang w:val="en-GB"/>
        </w:rPr>
        <w:t xml:space="preserve"> 51.8</w:t>
      </w:r>
      <w:r>
        <w:rPr>
          <w:rFonts w:ascii="Verdana" w:hAnsi="Verdana"/>
          <w:sz w:val="20"/>
          <w:szCs w:val="20"/>
          <w:lang w:val="en-GB"/>
        </w:rPr>
        <w:t xml:space="preserve"> </w:t>
      </w:r>
      <w:r w:rsidRPr="00EF3F29">
        <w:rPr>
          <w:rFonts w:ascii="Verdana" w:hAnsi="Verdana"/>
          <w:sz w:val="20"/>
          <w:szCs w:val="20"/>
          <w:lang w:val="en-GB"/>
        </w:rPr>
        <w:t xml:space="preserve">million (USD </w:t>
      </w:r>
      <w:r>
        <w:rPr>
          <w:rFonts w:ascii="Verdana" w:hAnsi="Verdana"/>
          <w:sz w:val="20"/>
          <w:szCs w:val="20"/>
          <w:lang w:val="en-GB"/>
        </w:rPr>
        <w:t>63.5</w:t>
      </w:r>
      <w:r w:rsidRPr="00EF3F29">
        <w:rPr>
          <w:rFonts w:ascii="Verdana" w:hAnsi="Verdana"/>
          <w:sz w:val="20"/>
          <w:szCs w:val="20"/>
          <w:lang w:val="en-GB"/>
        </w:rPr>
        <w:t xml:space="preserve"> million).</w:t>
      </w:r>
      <w:r>
        <w:rPr>
          <w:rFonts w:ascii="Verdana" w:hAnsi="Verdana"/>
          <w:sz w:val="20"/>
          <w:szCs w:val="20"/>
          <w:lang w:val="en-GB"/>
        </w:rPr>
        <w:t xml:space="preserve"> </w:t>
      </w:r>
      <w:r w:rsidRPr="00EF3F29">
        <w:rPr>
          <w:rFonts w:ascii="Verdana" w:hAnsi="Verdana"/>
          <w:sz w:val="20"/>
          <w:szCs w:val="20"/>
          <w:lang w:val="en-GB"/>
        </w:rPr>
        <w:t xml:space="preserve"> The </w:t>
      </w:r>
      <w:r>
        <w:rPr>
          <w:rFonts w:ascii="Verdana" w:hAnsi="Verdana"/>
          <w:sz w:val="20"/>
          <w:szCs w:val="20"/>
          <w:lang w:val="en-GB"/>
        </w:rPr>
        <w:t>Company’s equity rose to</w:t>
      </w:r>
      <w:r w:rsidRPr="00EF3F29">
        <w:rPr>
          <w:rFonts w:ascii="Verdana" w:hAnsi="Verdana"/>
          <w:sz w:val="20"/>
          <w:szCs w:val="20"/>
          <w:lang w:val="en-GB"/>
        </w:rPr>
        <w:t xml:space="preserve"> USD</w:t>
      </w:r>
      <w:r>
        <w:rPr>
          <w:rFonts w:ascii="Verdana" w:hAnsi="Verdana"/>
          <w:sz w:val="20"/>
          <w:szCs w:val="20"/>
          <w:lang w:val="en-GB"/>
        </w:rPr>
        <w:t xml:space="preserve"> </w:t>
      </w:r>
      <w:r w:rsidR="00120A68">
        <w:rPr>
          <w:rFonts w:ascii="Verdana" w:hAnsi="Verdana"/>
          <w:sz w:val="20"/>
          <w:szCs w:val="20"/>
          <w:lang w:val="en-GB"/>
        </w:rPr>
        <w:t>28.2</w:t>
      </w:r>
      <w:r>
        <w:rPr>
          <w:rFonts w:ascii="Verdana" w:hAnsi="Verdana"/>
          <w:sz w:val="20"/>
          <w:szCs w:val="20"/>
          <w:lang w:val="en-GB"/>
        </w:rPr>
        <w:t xml:space="preserve"> </w:t>
      </w:r>
      <w:r w:rsidRPr="00EF3F29">
        <w:rPr>
          <w:rFonts w:ascii="Verdana" w:hAnsi="Verdana"/>
          <w:sz w:val="20"/>
          <w:szCs w:val="20"/>
          <w:lang w:val="en-GB"/>
        </w:rPr>
        <w:t xml:space="preserve">million (USD </w:t>
      </w:r>
      <w:r>
        <w:rPr>
          <w:rFonts w:ascii="Verdana" w:hAnsi="Verdana"/>
          <w:sz w:val="20"/>
          <w:szCs w:val="20"/>
          <w:lang w:val="en-GB"/>
        </w:rPr>
        <w:t xml:space="preserve">-37.4 </w:t>
      </w:r>
      <w:r w:rsidRPr="00EF3F29">
        <w:rPr>
          <w:rFonts w:ascii="Verdana" w:hAnsi="Verdana"/>
          <w:sz w:val="20"/>
          <w:szCs w:val="20"/>
          <w:lang w:val="en-GB"/>
        </w:rPr>
        <w:t>million)</w:t>
      </w:r>
      <w:r w:rsidRPr="00EF3F29">
        <w:rPr>
          <w:rFonts w:ascii="Verdana" w:hAnsi="Verdana"/>
          <w:color w:val="FF0000"/>
          <w:sz w:val="20"/>
          <w:szCs w:val="20"/>
          <w:lang w:val="en-GB"/>
        </w:rPr>
        <w:t xml:space="preserve"> </w:t>
      </w:r>
      <w:r w:rsidRPr="00EF3F29">
        <w:rPr>
          <w:rFonts w:ascii="Verdana" w:hAnsi="Verdana"/>
          <w:sz w:val="20"/>
          <w:szCs w:val="20"/>
          <w:lang w:val="en-GB"/>
        </w:rPr>
        <w:t>as a consequence of the</w:t>
      </w:r>
      <w:r>
        <w:rPr>
          <w:rFonts w:ascii="Verdana" w:hAnsi="Verdana"/>
          <w:sz w:val="20"/>
          <w:szCs w:val="20"/>
          <w:lang w:val="en-GB"/>
        </w:rPr>
        <w:t xml:space="preserve"> restructuring exercise in December 2013. </w:t>
      </w: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6D32AD" w:rsidRDefault="006D32AD" w:rsidP="004E41E9">
      <w:pPr>
        <w:jc w:val="both"/>
        <w:rPr>
          <w:rFonts w:ascii="Verdana" w:hAnsi="Verdana"/>
          <w:sz w:val="20"/>
          <w:szCs w:val="20"/>
          <w:lang w:val="en-GB"/>
        </w:rPr>
      </w:pPr>
    </w:p>
    <w:p w:rsidR="00516F55" w:rsidRDefault="00516F55" w:rsidP="004E41E9">
      <w:pPr>
        <w:jc w:val="both"/>
        <w:rPr>
          <w:rFonts w:ascii="Verdana" w:hAnsi="Verdana"/>
          <w:sz w:val="20"/>
          <w:szCs w:val="20"/>
          <w:lang w:val="en-GB"/>
        </w:rPr>
      </w:pPr>
    </w:p>
    <w:p w:rsidR="00516F55" w:rsidRDefault="00516F55" w:rsidP="004E41E9">
      <w:pPr>
        <w:jc w:val="both"/>
        <w:rPr>
          <w:rFonts w:ascii="Verdana" w:hAnsi="Verdana"/>
          <w:sz w:val="20"/>
          <w:szCs w:val="20"/>
          <w:lang w:val="en-GB"/>
        </w:rPr>
      </w:pPr>
    </w:p>
    <w:p w:rsidR="00516F55" w:rsidRDefault="00516F55" w:rsidP="004E41E9">
      <w:pPr>
        <w:jc w:val="both"/>
        <w:rPr>
          <w:rFonts w:ascii="Verdana" w:hAnsi="Verdana"/>
          <w:sz w:val="20"/>
          <w:szCs w:val="20"/>
          <w:lang w:val="en-GB"/>
        </w:rPr>
      </w:pPr>
    </w:p>
    <w:p w:rsidR="00516F55" w:rsidRDefault="00516F55" w:rsidP="004E41E9">
      <w:pPr>
        <w:jc w:val="both"/>
        <w:rPr>
          <w:rFonts w:ascii="Verdana" w:hAnsi="Verdana"/>
          <w:sz w:val="20"/>
          <w:szCs w:val="20"/>
          <w:lang w:val="en-GB"/>
        </w:rPr>
      </w:pPr>
    </w:p>
    <w:p w:rsidR="00516F55" w:rsidRDefault="00516F55" w:rsidP="004E41E9">
      <w:pPr>
        <w:jc w:val="both"/>
        <w:rPr>
          <w:rFonts w:ascii="Verdana" w:hAnsi="Verdana"/>
          <w:sz w:val="20"/>
          <w:szCs w:val="20"/>
          <w:lang w:val="en-GB"/>
        </w:rPr>
      </w:pPr>
    </w:p>
    <w:p w:rsidR="00516F55" w:rsidRDefault="00516F55" w:rsidP="004E41E9">
      <w:pPr>
        <w:jc w:val="both"/>
        <w:rPr>
          <w:rFonts w:ascii="Verdana" w:hAnsi="Verdana"/>
          <w:sz w:val="20"/>
          <w:szCs w:val="20"/>
          <w:lang w:val="en-GB"/>
        </w:rPr>
      </w:pPr>
    </w:p>
    <w:p w:rsidR="00516F55" w:rsidRDefault="00516F55" w:rsidP="004E41E9">
      <w:pPr>
        <w:jc w:val="both"/>
        <w:rPr>
          <w:rFonts w:ascii="Verdana" w:hAnsi="Verdana"/>
          <w:sz w:val="20"/>
          <w:szCs w:val="20"/>
          <w:lang w:val="en-GB"/>
        </w:rPr>
      </w:pPr>
    </w:p>
    <w:p w:rsidR="00D23D11" w:rsidRPr="00EF3F29" w:rsidRDefault="00D23D11" w:rsidP="00D23D11">
      <w:pPr>
        <w:pStyle w:val="Heading1"/>
        <w:rPr>
          <w:rFonts w:ascii="Verdana" w:hAnsi="Verdana"/>
          <w:color w:val="auto"/>
          <w:sz w:val="20"/>
          <w:szCs w:val="20"/>
          <w:lang w:val="en-GB"/>
        </w:rPr>
      </w:pPr>
      <w:r w:rsidRPr="00D23D11">
        <w:rPr>
          <w:rFonts w:ascii="Verdana" w:hAnsi="Verdana"/>
          <w:color w:val="17365D" w:themeColor="text2" w:themeShade="BF"/>
          <w:sz w:val="40"/>
          <w:szCs w:val="20"/>
          <w:lang w:val="en-GB"/>
        </w:rPr>
        <w:lastRenderedPageBreak/>
        <w:t>Vision &amp; Strategy</w:t>
      </w:r>
      <w:bookmarkEnd w:id="4"/>
      <w:r w:rsidR="00C62C39">
        <w:rPr>
          <w:rFonts w:ascii="Verdana" w:hAnsi="Verdana"/>
          <w:color w:val="17365D" w:themeColor="text2" w:themeShade="BF"/>
          <w:sz w:val="40"/>
          <w:szCs w:val="20"/>
          <w:lang w:val="en-GB"/>
        </w:rPr>
        <w:t xml:space="preserve"> </w:t>
      </w:r>
    </w:p>
    <w:p w:rsidR="00D23D11" w:rsidRPr="00EF3F29" w:rsidRDefault="00D23D11" w:rsidP="00D23D11">
      <w:pPr>
        <w:autoSpaceDE w:val="0"/>
        <w:autoSpaceDN w:val="0"/>
        <w:adjustRightInd w:val="0"/>
        <w:spacing w:after="0"/>
        <w:jc w:val="both"/>
        <w:rPr>
          <w:rFonts w:ascii="Verdana" w:hAnsi="Verdana" w:cs="Frutiger-Light"/>
          <w:b/>
          <w:sz w:val="20"/>
          <w:szCs w:val="20"/>
          <w:lang w:val="en-GB"/>
        </w:rPr>
      </w:pPr>
    </w:p>
    <w:p w:rsidR="00983869" w:rsidRDefault="00983869" w:rsidP="00983869">
      <w:pPr>
        <w:autoSpaceDE w:val="0"/>
        <w:autoSpaceDN w:val="0"/>
        <w:adjustRightInd w:val="0"/>
        <w:spacing w:after="0"/>
        <w:jc w:val="both"/>
        <w:rPr>
          <w:rFonts w:ascii="Verdana" w:hAnsi="Verdana" w:cs="Frutiger-Light"/>
          <w:sz w:val="20"/>
          <w:szCs w:val="20"/>
          <w:lang w:val="en-GB"/>
        </w:rPr>
      </w:pPr>
      <w:bookmarkStart w:id="5" w:name="_Toc287543859"/>
      <w:bookmarkStart w:id="6" w:name="_Toc287543860"/>
      <w:bookmarkStart w:id="7" w:name="_Toc287543861"/>
      <w:bookmarkStart w:id="8" w:name="_Toc287543862"/>
      <w:bookmarkStart w:id="9" w:name="_Toc287543863"/>
      <w:bookmarkStart w:id="10" w:name="_Toc287543864"/>
      <w:bookmarkStart w:id="11" w:name="_Toc287543865"/>
      <w:bookmarkStart w:id="12" w:name="_Toc287543866"/>
      <w:bookmarkStart w:id="13" w:name="_Toc287543867"/>
      <w:bookmarkStart w:id="14" w:name="_Toc287543868"/>
      <w:bookmarkStart w:id="15" w:name="_Toc287543869"/>
      <w:bookmarkStart w:id="16" w:name="_Toc287543870"/>
      <w:bookmarkStart w:id="17" w:name="_Toc287543871"/>
      <w:bookmarkStart w:id="18" w:name="_Toc287543872"/>
      <w:bookmarkStart w:id="19" w:name="_Toc287543873"/>
      <w:bookmarkStart w:id="20" w:name="_Toc287543874"/>
      <w:bookmarkStart w:id="21" w:name="_Toc287543875"/>
      <w:bookmarkStart w:id="22" w:name="_Toc287543876"/>
      <w:bookmarkStart w:id="23" w:name="_Toc287543877"/>
      <w:bookmarkStart w:id="24" w:name="_Toc287543878"/>
      <w:bookmarkStart w:id="25" w:name="_Toc32019518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Verdana" w:hAnsi="Verdana" w:cs="Frutiger-Light"/>
          <w:sz w:val="20"/>
          <w:szCs w:val="20"/>
          <w:lang w:val="en-GB"/>
        </w:rPr>
        <w:t>After addressing its capital structure in 2013, the Company is now focused on developing growth opportunities.  In view of the encouraging fundamentals for product tankers, the Company believes this is the right time to grow the Company.</w:t>
      </w:r>
    </w:p>
    <w:p w:rsidR="00983869" w:rsidRDefault="00983869" w:rsidP="00983869">
      <w:pPr>
        <w:autoSpaceDE w:val="0"/>
        <w:autoSpaceDN w:val="0"/>
        <w:adjustRightInd w:val="0"/>
        <w:spacing w:after="0"/>
        <w:jc w:val="both"/>
        <w:rPr>
          <w:rFonts w:ascii="Verdana" w:hAnsi="Verdana" w:cs="Frutiger-Light"/>
          <w:sz w:val="20"/>
          <w:szCs w:val="20"/>
          <w:lang w:val="en-GB"/>
        </w:rPr>
      </w:pPr>
    </w:p>
    <w:p w:rsidR="00983869" w:rsidRDefault="00983869" w:rsidP="00983869">
      <w:pPr>
        <w:autoSpaceDE w:val="0"/>
        <w:autoSpaceDN w:val="0"/>
        <w:adjustRightInd w:val="0"/>
        <w:spacing w:after="0"/>
        <w:jc w:val="both"/>
        <w:rPr>
          <w:rFonts w:ascii="Verdana" w:hAnsi="Verdana" w:cs="Frutiger-Light"/>
          <w:sz w:val="20"/>
          <w:szCs w:val="20"/>
          <w:lang w:val="en-GB"/>
        </w:rPr>
      </w:pPr>
      <w:r>
        <w:rPr>
          <w:rFonts w:ascii="Verdana" w:hAnsi="Verdana" w:cs="Frutiger-Light"/>
          <w:sz w:val="20"/>
          <w:szCs w:val="20"/>
          <w:lang w:val="en-GB"/>
        </w:rPr>
        <w:t>Given the financial strength and commitment of the new majority shareholder, this should facilitate the ability to attract other investors.  The vision is to develop the Company into a sizeable tanker owner that is firmly established in the capital markets facilitating financial flexibility.</w:t>
      </w:r>
    </w:p>
    <w:p w:rsidR="00D23D11" w:rsidRDefault="00D23D11">
      <w:pPr>
        <w:rPr>
          <w:rFonts w:ascii="Verdana" w:eastAsiaTheme="majorEastAsia" w:hAnsi="Verdana" w:cstheme="majorBidi"/>
          <w:b/>
          <w:bCs/>
          <w:sz w:val="20"/>
          <w:szCs w:val="20"/>
          <w:lang w:val="en-GB" w:eastAsia="da-DK"/>
        </w:rPr>
      </w:pPr>
      <w:r>
        <w:rPr>
          <w:rFonts w:ascii="Verdana" w:hAnsi="Verdana"/>
          <w:sz w:val="20"/>
          <w:szCs w:val="20"/>
          <w:lang w:val="en-GB"/>
        </w:rPr>
        <w:br w:type="page"/>
      </w:r>
    </w:p>
    <w:bookmarkEnd w:id="25"/>
    <w:p w:rsidR="00ED0BCB" w:rsidRPr="00EF3F29" w:rsidRDefault="00FE4BBC" w:rsidP="00ED0BCB">
      <w:pPr>
        <w:pStyle w:val="Heading1"/>
        <w:rPr>
          <w:rFonts w:ascii="Verdana" w:hAnsi="Verdana"/>
          <w:color w:val="auto"/>
          <w:sz w:val="20"/>
          <w:szCs w:val="20"/>
          <w:lang w:val="en-GB"/>
        </w:rPr>
      </w:pPr>
      <w:r>
        <w:rPr>
          <w:rFonts w:ascii="Verdana" w:hAnsi="Verdana"/>
          <w:color w:val="17365D" w:themeColor="text2" w:themeShade="BF"/>
          <w:sz w:val="40"/>
          <w:szCs w:val="20"/>
          <w:lang w:val="en-GB"/>
        </w:rPr>
        <w:lastRenderedPageBreak/>
        <w:t>Statutory Corporate Governance S</w:t>
      </w:r>
      <w:r w:rsidR="00ED0BCB" w:rsidRPr="00D23D11">
        <w:rPr>
          <w:rFonts w:ascii="Verdana" w:hAnsi="Verdana"/>
          <w:color w:val="17365D" w:themeColor="text2" w:themeShade="BF"/>
          <w:sz w:val="40"/>
          <w:szCs w:val="20"/>
          <w:lang w:val="en-GB"/>
        </w:rPr>
        <w:t>tatement</w:t>
      </w:r>
    </w:p>
    <w:p w:rsidR="00ED0BCB" w:rsidRPr="00EF3F29" w:rsidRDefault="00ED0BCB" w:rsidP="00ED0BCB">
      <w:pPr>
        <w:pStyle w:val="ListParagraph"/>
        <w:ind w:left="1665"/>
        <w:jc w:val="both"/>
        <w:rPr>
          <w:b/>
        </w:rPr>
      </w:pPr>
    </w:p>
    <w:p w:rsidR="00ED0BCB" w:rsidRDefault="00ED0BCB" w:rsidP="00ED0BCB">
      <w:pPr>
        <w:jc w:val="both"/>
        <w:rPr>
          <w:rFonts w:ascii="Verdana" w:hAnsi="Verdana"/>
          <w:sz w:val="20"/>
          <w:szCs w:val="20"/>
          <w:lang w:val="en-GB"/>
        </w:rPr>
      </w:pPr>
      <w:r w:rsidRPr="00EF3F29">
        <w:rPr>
          <w:rFonts w:ascii="Verdana" w:hAnsi="Verdana" w:cs="Frutiger-Light"/>
          <w:sz w:val="20"/>
          <w:szCs w:val="20"/>
          <w:lang w:val="en-GB"/>
        </w:rPr>
        <w:t>This statutory corporate governance statement covers the financial period 1 January to 31 December 201</w:t>
      </w:r>
      <w:r>
        <w:rPr>
          <w:rFonts w:ascii="Verdana" w:hAnsi="Verdana" w:cs="Frutiger-Light"/>
          <w:sz w:val="20"/>
          <w:szCs w:val="20"/>
          <w:lang w:val="en-GB"/>
        </w:rPr>
        <w:t>3</w:t>
      </w:r>
      <w:r w:rsidRPr="00EF3F29">
        <w:rPr>
          <w:rFonts w:ascii="Verdana" w:hAnsi="Verdana" w:cs="Frutiger-Light"/>
          <w:sz w:val="20"/>
          <w:szCs w:val="20"/>
          <w:lang w:val="en-GB"/>
        </w:rPr>
        <w:t xml:space="preserve">. </w:t>
      </w:r>
    </w:p>
    <w:p w:rsidR="00ED0BCB" w:rsidRPr="00721A99" w:rsidRDefault="00ED0BCB" w:rsidP="00ED0BCB">
      <w:pPr>
        <w:pStyle w:val="Subtitle"/>
        <w:spacing w:before="360" w:after="0"/>
        <w:jc w:val="both"/>
        <w:rPr>
          <w:rFonts w:ascii="Verdana" w:eastAsiaTheme="minorHAnsi" w:hAnsi="Verdana" w:cs="Frutiger-Bold"/>
          <w:b/>
          <w:bCs/>
          <w:i w:val="0"/>
          <w:iCs w:val="0"/>
          <w:color w:val="auto"/>
          <w:spacing w:val="0"/>
          <w:sz w:val="20"/>
          <w:szCs w:val="20"/>
          <w:lang w:val="en-GB"/>
        </w:rPr>
      </w:pPr>
      <w:r w:rsidRPr="00721A99">
        <w:rPr>
          <w:rFonts w:ascii="Verdana" w:eastAsiaTheme="minorHAnsi" w:hAnsi="Verdana" w:cs="Frutiger-Bold"/>
          <w:b/>
          <w:bCs/>
          <w:i w:val="0"/>
          <w:iCs w:val="0"/>
          <w:color w:val="auto"/>
          <w:spacing w:val="0"/>
          <w:sz w:val="20"/>
          <w:szCs w:val="20"/>
          <w:lang w:val="en-GB"/>
        </w:rPr>
        <w:t>Corporate Governance</w:t>
      </w:r>
    </w:p>
    <w:p w:rsidR="00ED0BCB" w:rsidRPr="00721A99" w:rsidRDefault="00ED0BCB" w:rsidP="00ED0BCB">
      <w:pPr>
        <w:autoSpaceDE w:val="0"/>
        <w:autoSpaceDN w:val="0"/>
        <w:adjustRightInd w:val="0"/>
        <w:jc w:val="both"/>
        <w:rPr>
          <w:rFonts w:ascii="Verdana" w:hAnsi="Verdana" w:cs="Frutiger-Light"/>
          <w:sz w:val="20"/>
          <w:szCs w:val="20"/>
          <w:lang w:val="en-GB"/>
        </w:rPr>
      </w:pPr>
      <w:r w:rsidRPr="00721A99">
        <w:rPr>
          <w:rFonts w:ascii="Verdana" w:hAnsi="Verdana" w:cs="Frutiger-Light"/>
          <w:sz w:val="20"/>
          <w:szCs w:val="20"/>
          <w:lang w:val="en-GB"/>
        </w:rPr>
        <w:t xml:space="preserve">Nordic Shipholding is committed to maintain a high standard of corporate governance, and the Board of Directors continuously reviews the framework and principles for the overall governance of the Company. </w:t>
      </w:r>
    </w:p>
    <w:p w:rsidR="000E45EA" w:rsidRDefault="00ED0BCB" w:rsidP="00ED0BCB">
      <w:pPr>
        <w:autoSpaceDE w:val="0"/>
        <w:autoSpaceDN w:val="0"/>
        <w:adjustRightInd w:val="0"/>
        <w:jc w:val="both"/>
        <w:rPr>
          <w:rFonts w:ascii="Verdana" w:hAnsi="Verdana" w:cs="Frutiger-Light"/>
          <w:sz w:val="20"/>
          <w:szCs w:val="20"/>
          <w:lang w:val="en-GB"/>
        </w:rPr>
      </w:pPr>
      <w:r w:rsidRPr="00721A99">
        <w:rPr>
          <w:rFonts w:ascii="Verdana" w:hAnsi="Verdana" w:cs="Frutiger-Light"/>
          <w:sz w:val="20"/>
          <w:szCs w:val="20"/>
          <w:lang w:val="en-GB"/>
        </w:rPr>
        <w:t xml:space="preserve">The Company is in compliance with the majority of the recommendations given in Recommendations for Corporate Governance issued </w:t>
      </w:r>
      <w:r>
        <w:rPr>
          <w:rFonts w:ascii="Verdana" w:hAnsi="Verdana" w:cs="Frutiger-Light"/>
          <w:sz w:val="20"/>
          <w:szCs w:val="20"/>
          <w:lang w:val="en-GB"/>
        </w:rPr>
        <w:t>6 May 2013</w:t>
      </w:r>
      <w:r w:rsidRPr="00721A99">
        <w:rPr>
          <w:rFonts w:ascii="Verdana" w:hAnsi="Verdana" w:cs="Frutiger-Light"/>
          <w:sz w:val="20"/>
          <w:szCs w:val="20"/>
          <w:lang w:val="en-GB"/>
        </w:rPr>
        <w:t xml:space="preserve"> and made public by NASDAQ OMX Copenhagen. </w:t>
      </w:r>
      <w:r w:rsidR="000E45EA">
        <w:rPr>
          <w:rFonts w:ascii="Verdana" w:hAnsi="Verdana" w:cs="Frutiger-Light"/>
          <w:sz w:val="20"/>
          <w:szCs w:val="20"/>
          <w:lang w:val="en-GB"/>
        </w:rPr>
        <w:t xml:space="preserve">Refer to </w:t>
      </w:r>
      <w:hyperlink r:id="rId13" w:history="1">
        <w:r w:rsidR="000E45EA" w:rsidRPr="006640CA">
          <w:rPr>
            <w:rStyle w:val="Hyperlink"/>
            <w:rFonts w:ascii="Verdana" w:hAnsi="Verdana" w:cs="Frutiger-Light"/>
            <w:sz w:val="20"/>
            <w:szCs w:val="20"/>
          </w:rPr>
          <w:t>http://www.nordicshipholding.com/governance.cfm</w:t>
        </w:r>
      </w:hyperlink>
    </w:p>
    <w:p w:rsidR="00ED0BCB" w:rsidRPr="001C078C" w:rsidRDefault="00ED0BCB" w:rsidP="00ED0BCB">
      <w:pPr>
        <w:autoSpaceDE w:val="0"/>
        <w:autoSpaceDN w:val="0"/>
        <w:adjustRightInd w:val="0"/>
        <w:jc w:val="both"/>
        <w:rPr>
          <w:rFonts w:ascii="Verdana" w:hAnsi="Verdana" w:cs="Frutiger-Light"/>
          <w:b/>
          <w:sz w:val="20"/>
          <w:szCs w:val="20"/>
          <w:lang w:val="en-GB"/>
        </w:rPr>
      </w:pPr>
      <w:r w:rsidRPr="00721A99">
        <w:rPr>
          <w:rFonts w:ascii="Verdana" w:hAnsi="Verdana" w:cs="Frutiger-Light"/>
          <w:sz w:val="20"/>
          <w:szCs w:val="20"/>
          <w:lang w:val="en-GB"/>
        </w:rPr>
        <w:t>Following is a brief description of the main deviations from the recommendations:</w:t>
      </w:r>
    </w:p>
    <w:p w:rsidR="00ED0BCB" w:rsidRPr="000A07C6" w:rsidRDefault="00ED0BCB" w:rsidP="00ED0BCB">
      <w:pPr>
        <w:pStyle w:val="Subtitle"/>
        <w:spacing w:before="360" w:after="0"/>
        <w:jc w:val="both"/>
        <w:rPr>
          <w:rFonts w:ascii="Verdana" w:eastAsiaTheme="minorHAnsi" w:hAnsi="Verdana" w:cs="Frutiger-Bold"/>
          <w:b/>
          <w:bCs/>
          <w:i w:val="0"/>
          <w:iCs w:val="0"/>
          <w:color w:val="auto"/>
          <w:spacing w:val="0"/>
          <w:sz w:val="20"/>
          <w:szCs w:val="20"/>
          <w:lang w:val="en-GB"/>
        </w:rPr>
      </w:pPr>
      <w:r>
        <w:rPr>
          <w:rFonts w:ascii="Verdana" w:eastAsiaTheme="minorHAnsi" w:hAnsi="Verdana" w:cs="Frutiger-Bold"/>
          <w:b/>
          <w:bCs/>
          <w:i w:val="0"/>
          <w:iCs w:val="0"/>
          <w:color w:val="auto"/>
          <w:spacing w:val="0"/>
          <w:sz w:val="20"/>
          <w:szCs w:val="20"/>
          <w:lang w:val="en-GB"/>
        </w:rPr>
        <w:t>C</w:t>
      </w:r>
      <w:r w:rsidRPr="000A07C6">
        <w:rPr>
          <w:rFonts w:ascii="Verdana" w:eastAsiaTheme="minorHAnsi" w:hAnsi="Verdana" w:cs="Frutiger-Bold"/>
          <w:b/>
          <w:bCs/>
          <w:i w:val="0"/>
          <w:iCs w:val="0"/>
          <w:color w:val="auto"/>
          <w:spacing w:val="0"/>
          <w:sz w:val="20"/>
          <w:szCs w:val="20"/>
          <w:lang w:val="en-GB"/>
        </w:rPr>
        <w:t>omposition of the Board of Directors</w:t>
      </w:r>
    </w:p>
    <w:p w:rsidR="00ED0BCB" w:rsidRDefault="00ED0BCB" w:rsidP="00ED0BCB">
      <w:pPr>
        <w:jc w:val="both"/>
        <w:rPr>
          <w:rFonts w:ascii="Verdana" w:hAnsi="Verdana" w:cs="Arial"/>
          <w:sz w:val="20"/>
          <w:lang w:val="en-GB"/>
        </w:rPr>
      </w:pPr>
      <w:r>
        <w:rPr>
          <w:rFonts w:ascii="Verdana" w:hAnsi="Verdana"/>
          <w:sz w:val="20"/>
          <w:szCs w:val="20"/>
          <w:lang w:eastAsia="da-DK"/>
        </w:rPr>
        <w:t xml:space="preserve">Nordic Shipholding sees no need </w:t>
      </w:r>
      <w:r>
        <w:rPr>
          <w:rFonts w:ascii="Verdana" w:hAnsi="Verdana" w:cs="Arial"/>
          <w:sz w:val="20"/>
          <w:lang w:val="en-GB"/>
        </w:rPr>
        <w:t>t</w:t>
      </w:r>
      <w:r w:rsidRPr="006C36E3">
        <w:rPr>
          <w:rFonts w:ascii="Verdana" w:hAnsi="Verdana" w:cs="Arial"/>
          <w:sz w:val="20"/>
          <w:lang w:val="en-GB"/>
        </w:rPr>
        <w:t xml:space="preserve">o determine an age limit for the members of the Board of Directors as the Company </w:t>
      </w:r>
      <w:r>
        <w:rPr>
          <w:rFonts w:ascii="Verdana" w:hAnsi="Verdana" w:cs="Arial"/>
          <w:sz w:val="20"/>
          <w:lang w:val="en-GB"/>
        </w:rPr>
        <w:t xml:space="preserve">strongly </w:t>
      </w:r>
      <w:r w:rsidRPr="006C36E3">
        <w:rPr>
          <w:rFonts w:ascii="Verdana" w:hAnsi="Verdana" w:cs="Arial"/>
          <w:sz w:val="20"/>
          <w:lang w:val="en-GB"/>
        </w:rPr>
        <w:t>focuses on the competencies and relevant work experience of each Board member.</w:t>
      </w:r>
    </w:p>
    <w:p w:rsidR="00ED0BCB" w:rsidRDefault="00ED0BCB" w:rsidP="0097723E">
      <w:pPr>
        <w:spacing w:after="0"/>
        <w:jc w:val="both"/>
        <w:rPr>
          <w:rFonts w:ascii="Verdana" w:hAnsi="Verdana" w:cs="Arial"/>
          <w:sz w:val="20"/>
          <w:lang w:val="en-GB"/>
        </w:rPr>
      </w:pPr>
      <w:r>
        <w:rPr>
          <w:rFonts w:ascii="Verdana" w:hAnsi="Verdana" w:cs="Arial"/>
          <w:sz w:val="20"/>
          <w:lang w:val="en-GB"/>
        </w:rPr>
        <w:t>The Company’s Board does not consist of majority independent directors given that the</w:t>
      </w:r>
      <w:r w:rsidRPr="00ED0E3C">
        <w:rPr>
          <w:rFonts w:ascii="Verdana" w:hAnsi="Verdana" w:cs="Arial"/>
          <w:sz w:val="20"/>
          <w:lang w:val="en-GB"/>
        </w:rPr>
        <w:t xml:space="preserve"> Company has a controlling shareholder</w:t>
      </w:r>
      <w:r>
        <w:rPr>
          <w:rFonts w:ascii="Verdana" w:hAnsi="Verdana" w:cs="Arial"/>
          <w:sz w:val="20"/>
          <w:lang w:val="en-GB"/>
        </w:rPr>
        <w:t>. S</w:t>
      </w:r>
      <w:r w:rsidRPr="00ED0E3C">
        <w:rPr>
          <w:rFonts w:ascii="Verdana" w:hAnsi="Verdana" w:cs="Arial"/>
          <w:sz w:val="20"/>
          <w:lang w:val="en-GB"/>
        </w:rPr>
        <w:t xml:space="preserve">trong representation on the Board by its controlling shareholder is </w:t>
      </w:r>
      <w:r>
        <w:rPr>
          <w:rFonts w:ascii="Verdana" w:hAnsi="Verdana" w:cs="Arial"/>
          <w:sz w:val="20"/>
          <w:lang w:val="en-GB"/>
        </w:rPr>
        <w:t>deemed important for the Company which only recently completed its financial restructuring.</w:t>
      </w:r>
      <w:r w:rsidRPr="00ED0E3C">
        <w:rPr>
          <w:rFonts w:ascii="Verdana" w:hAnsi="Verdana" w:cs="Arial"/>
          <w:sz w:val="20"/>
          <w:lang w:val="en-GB"/>
        </w:rPr>
        <w:t xml:space="preserve"> </w:t>
      </w:r>
      <w:r>
        <w:rPr>
          <w:rFonts w:ascii="Verdana" w:hAnsi="Verdana" w:cs="Arial"/>
          <w:sz w:val="20"/>
          <w:lang w:val="en-GB"/>
        </w:rPr>
        <w:t xml:space="preserve">  </w:t>
      </w:r>
    </w:p>
    <w:p w:rsidR="0097723E" w:rsidRDefault="0097723E" w:rsidP="0097723E">
      <w:pPr>
        <w:spacing w:after="0"/>
        <w:jc w:val="both"/>
        <w:rPr>
          <w:rFonts w:ascii="Verdana" w:hAnsi="Verdana" w:cs="Arial"/>
          <w:sz w:val="20"/>
          <w:lang w:val="en-GB"/>
        </w:rPr>
      </w:pPr>
    </w:p>
    <w:p w:rsidR="00481C8E" w:rsidRDefault="00481C8E" w:rsidP="0097723E">
      <w:pPr>
        <w:spacing w:after="0"/>
        <w:jc w:val="both"/>
        <w:rPr>
          <w:rFonts w:ascii="Verdana" w:hAnsi="Verdana"/>
          <w:b/>
          <w:bCs/>
          <w:sz w:val="20"/>
          <w:szCs w:val="20"/>
        </w:rPr>
      </w:pPr>
      <w:r w:rsidRPr="00481C8E">
        <w:rPr>
          <w:rFonts w:ascii="Verdana" w:hAnsi="Verdana"/>
          <w:b/>
          <w:bCs/>
          <w:sz w:val="20"/>
          <w:szCs w:val="20"/>
        </w:rPr>
        <w:t>Diversity in management</w:t>
      </w:r>
    </w:p>
    <w:p w:rsidR="00481C8E" w:rsidRPr="00481C8E" w:rsidRDefault="00481C8E" w:rsidP="00481C8E">
      <w:pPr>
        <w:spacing w:after="0" w:line="240" w:lineRule="auto"/>
        <w:jc w:val="both"/>
        <w:rPr>
          <w:rFonts w:ascii="Verdana" w:hAnsi="Verdana" w:cs="Arial"/>
          <w:sz w:val="20"/>
          <w:lang w:val="en-GB"/>
        </w:rPr>
      </w:pPr>
      <w:r>
        <w:rPr>
          <w:rFonts w:ascii="Verdana" w:hAnsi="Verdana"/>
          <w:bCs/>
          <w:sz w:val="20"/>
          <w:szCs w:val="20"/>
        </w:rPr>
        <w:t>The curr</w:t>
      </w:r>
      <w:r w:rsidR="000E45EA">
        <w:rPr>
          <w:rFonts w:ascii="Verdana" w:hAnsi="Verdana"/>
          <w:bCs/>
          <w:sz w:val="20"/>
          <w:szCs w:val="20"/>
        </w:rPr>
        <w:t>ent Board of Directors consists</w:t>
      </w:r>
      <w:r>
        <w:rPr>
          <w:rFonts w:ascii="Verdana" w:hAnsi="Verdana"/>
          <w:bCs/>
          <w:sz w:val="20"/>
          <w:szCs w:val="20"/>
        </w:rPr>
        <w:t xml:space="preserve"> of 5 men</w:t>
      </w:r>
      <w:r w:rsidR="004F28E4">
        <w:rPr>
          <w:rFonts w:ascii="Verdana" w:hAnsi="Verdana"/>
          <w:bCs/>
          <w:sz w:val="20"/>
          <w:szCs w:val="20"/>
        </w:rPr>
        <w:t>.</w:t>
      </w:r>
      <w:r w:rsidR="0012598D">
        <w:rPr>
          <w:rFonts w:ascii="Verdana" w:hAnsi="Verdana"/>
          <w:bCs/>
          <w:sz w:val="20"/>
          <w:szCs w:val="20"/>
        </w:rPr>
        <w:t xml:space="preserve"> </w:t>
      </w:r>
      <w:r>
        <w:rPr>
          <w:rFonts w:ascii="Verdana" w:hAnsi="Verdana"/>
          <w:bCs/>
          <w:sz w:val="20"/>
          <w:szCs w:val="20"/>
        </w:rPr>
        <w:t xml:space="preserve">The </w:t>
      </w:r>
      <w:r w:rsidRPr="00481C8E">
        <w:rPr>
          <w:rFonts w:ascii="Verdana" w:hAnsi="Verdana"/>
          <w:bCs/>
          <w:sz w:val="20"/>
          <w:szCs w:val="20"/>
        </w:rPr>
        <w:t xml:space="preserve">Board </w:t>
      </w:r>
      <w:r w:rsidR="004F28E4">
        <w:rPr>
          <w:rFonts w:ascii="Verdana" w:hAnsi="Verdana"/>
          <w:bCs/>
          <w:sz w:val="20"/>
          <w:szCs w:val="20"/>
        </w:rPr>
        <w:t>has</w:t>
      </w:r>
      <w:r>
        <w:rPr>
          <w:rFonts w:ascii="Verdana" w:hAnsi="Verdana"/>
          <w:bCs/>
          <w:sz w:val="20"/>
          <w:szCs w:val="20"/>
        </w:rPr>
        <w:t xml:space="preserve"> laid down a goal to have at least 1 female board member </w:t>
      </w:r>
      <w:r w:rsidR="0012598D">
        <w:rPr>
          <w:rFonts w:ascii="Verdana" w:hAnsi="Verdana"/>
          <w:bCs/>
          <w:sz w:val="20"/>
          <w:szCs w:val="20"/>
        </w:rPr>
        <w:t>in the medium term.</w:t>
      </w:r>
    </w:p>
    <w:p w:rsidR="00ED0BCB" w:rsidRPr="00053FA3" w:rsidRDefault="00ED0BCB" w:rsidP="00ED0BCB">
      <w:pPr>
        <w:spacing w:before="360" w:after="0"/>
        <w:jc w:val="both"/>
        <w:rPr>
          <w:rFonts w:ascii="Verdana" w:hAnsi="Verdana" w:cs="Arial"/>
          <w:b/>
          <w:sz w:val="20"/>
        </w:rPr>
      </w:pPr>
      <w:r w:rsidRPr="00053FA3">
        <w:rPr>
          <w:rFonts w:ascii="Verdana" w:hAnsi="Verdana" w:cs="Arial"/>
          <w:b/>
          <w:sz w:val="20"/>
        </w:rPr>
        <w:t>Board Committees</w:t>
      </w:r>
    </w:p>
    <w:p w:rsidR="00ED0BCB" w:rsidRPr="00BD6633" w:rsidRDefault="00ED0BCB" w:rsidP="00ED0BCB">
      <w:pPr>
        <w:jc w:val="both"/>
        <w:rPr>
          <w:rFonts w:ascii="Verdana" w:hAnsi="Verdana" w:cs="Arial"/>
          <w:sz w:val="20"/>
          <w:lang w:val="en-GB"/>
        </w:rPr>
      </w:pPr>
      <w:r w:rsidRPr="00BD6633">
        <w:rPr>
          <w:rFonts w:ascii="Verdana" w:hAnsi="Verdana" w:cs="Arial"/>
          <w:sz w:val="20"/>
          <w:lang w:val="en-GB"/>
        </w:rPr>
        <w:t>The Board of Directors does not find it necessary to establish other Board Committees</w:t>
      </w:r>
      <w:r>
        <w:rPr>
          <w:rFonts w:ascii="Verdana" w:hAnsi="Verdana" w:cs="Arial"/>
          <w:sz w:val="20"/>
          <w:lang w:val="en-GB"/>
        </w:rPr>
        <w:t>, including the Audit Committee, Nomination Committee and Remuneration Committee,</w:t>
      </w:r>
      <w:r w:rsidRPr="00BD6633">
        <w:rPr>
          <w:rFonts w:ascii="Verdana" w:hAnsi="Verdana" w:cs="Arial"/>
          <w:sz w:val="20"/>
          <w:lang w:val="en-GB"/>
        </w:rPr>
        <w:t xml:space="preserve"> because of its shareholder structure and the nature of the Company’s activities. </w:t>
      </w:r>
      <w:r>
        <w:rPr>
          <w:rFonts w:ascii="Verdana" w:hAnsi="Verdana" w:cs="Arial"/>
          <w:sz w:val="20"/>
          <w:lang w:val="en-GB"/>
        </w:rPr>
        <w:t>All Board members are equally involved in the review of financial and audit matters.</w:t>
      </w:r>
    </w:p>
    <w:p w:rsidR="00ED0BCB" w:rsidRPr="009A19B8" w:rsidRDefault="00ED0BCB" w:rsidP="00ED0BCB">
      <w:pPr>
        <w:pStyle w:val="Subtitle"/>
        <w:spacing w:before="360" w:after="0"/>
        <w:jc w:val="both"/>
        <w:rPr>
          <w:rFonts w:ascii="Verdana" w:eastAsiaTheme="minorHAnsi" w:hAnsi="Verdana" w:cs="Frutiger-Bold"/>
          <w:b/>
          <w:bCs/>
          <w:i w:val="0"/>
          <w:iCs w:val="0"/>
          <w:color w:val="auto"/>
          <w:spacing w:val="0"/>
          <w:sz w:val="20"/>
          <w:szCs w:val="20"/>
          <w:lang w:val="en-GB"/>
        </w:rPr>
      </w:pPr>
      <w:r w:rsidRPr="009A19B8">
        <w:rPr>
          <w:rFonts w:ascii="Verdana" w:eastAsiaTheme="minorHAnsi" w:hAnsi="Verdana" w:cs="Frutiger-Bold"/>
          <w:b/>
          <w:bCs/>
          <w:i w:val="0"/>
          <w:iCs w:val="0"/>
          <w:color w:val="auto"/>
          <w:spacing w:val="0"/>
          <w:sz w:val="20"/>
          <w:szCs w:val="20"/>
          <w:lang w:val="en-GB"/>
        </w:rPr>
        <w:t>Assessment of the performance of the Board of Directors and management</w:t>
      </w:r>
    </w:p>
    <w:p w:rsidR="00ED0BCB" w:rsidRPr="009A19B8" w:rsidRDefault="00ED0BCB" w:rsidP="00ED0BCB">
      <w:pPr>
        <w:jc w:val="both"/>
        <w:rPr>
          <w:lang w:eastAsia="da-DK"/>
        </w:rPr>
      </w:pPr>
      <w:r>
        <w:rPr>
          <w:rFonts w:ascii="Verdana" w:hAnsi="Verdana"/>
          <w:sz w:val="20"/>
          <w:szCs w:val="20"/>
          <w:lang w:eastAsia="da-DK"/>
        </w:rPr>
        <w:t>The Board of Directors does not have a formalised assessment procedure upon which the performance and results of the Board of Directors and the individual Board members, including the chairman, are evaluated on a regular basis.  Furthermore, there is no predefined clear criteria to evaluate the work and performance of the Chief Executive Officer.  For the time being,</w:t>
      </w:r>
      <w:r w:rsidRPr="003B0BF6">
        <w:rPr>
          <w:rFonts w:ascii="Verdana" w:hAnsi="Verdana" w:cs="Arial"/>
          <w:sz w:val="20"/>
          <w:lang w:val="en-GB"/>
        </w:rPr>
        <w:t xml:space="preserve"> </w:t>
      </w:r>
      <w:r w:rsidRPr="009A19B8">
        <w:rPr>
          <w:rFonts w:ascii="Verdana" w:hAnsi="Verdana" w:cs="Arial"/>
          <w:sz w:val="20"/>
          <w:lang w:val="en-GB"/>
        </w:rPr>
        <w:t xml:space="preserve">the Company has not found it necessary to </w:t>
      </w:r>
      <w:r>
        <w:rPr>
          <w:rFonts w:ascii="Verdana" w:hAnsi="Verdana" w:cs="Arial"/>
          <w:sz w:val="20"/>
          <w:lang w:val="en-GB"/>
        </w:rPr>
        <w:t xml:space="preserve">institute a </w:t>
      </w:r>
      <w:r>
        <w:rPr>
          <w:rFonts w:ascii="Verdana" w:hAnsi="Verdana"/>
          <w:sz w:val="20"/>
          <w:szCs w:val="20"/>
          <w:lang w:eastAsia="da-DK"/>
        </w:rPr>
        <w:t xml:space="preserve">formal predefined procedure given that internal reviews are being carried out on an on-going basis by the Board of Directors. </w:t>
      </w:r>
    </w:p>
    <w:p w:rsidR="00ED0BCB" w:rsidRPr="009A19B8" w:rsidRDefault="00ED0BCB" w:rsidP="00ED0BCB">
      <w:pPr>
        <w:spacing w:before="360" w:after="0"/>
        <w:jc w:val="both"/>
        <w:rPr>
          <w:rFonts w:ascii="Verdana" w:hAnsi="Verdana" w:cs="Frutiger-Light"/>
          <w:b/>
          <w:sz w:val="20"/>
          <w:szCs w:val="20"/>
          <w:lang w:val="en-GB"/>
        </w:rPr>
      </w:pPr>
      <w:r w:rsidRPr="009A19B8">
        <w:rPr>
          <w:rFonts w:ascii="Verdana" w:hAnsi="Verdana" w:cs="Frutiger-Light"/>
          <w:b/>
          <w:sz w:val="20"/>
          <w:szCs w:val="20"/>
          <w:lang w:val="en-GB"/>
        </w:rPr>
        <w:t>Whistle-blower</w:t>
      </w:r>
    </w:p>
    <w:p w:rsidR="00ED0BCB" w:rsidRDefault="00ED0BCB" w:rsidP="00ED0BCB">
      <w:pPr>
        <w:pStyle w:val="ListParagraph"/>
        <w:ind w:left="0"/>
        <w:jc w:val="both"/>
        <w:rPr>
          <w:rFonts w:ascii="Verdana" w:hAnsi="Verdana" w:cs="Frutiger-Light"/>
          <w:sz w:val="20"/>
          <w:szCs w:val="20"/>
        </w:rPr>
      </w:pPr>
      <w:r w:rsidRPr="00A73D7A">
        <w:rPr>
          <w:rFonts w:ascii="Verdana" w:hAnsi="Verdana" w:cs="Frutiger-Light"/>
          <w:sz w:val="20"/>
          <w:szCs w:val="20"/>
        </w:rPr>
        <w:t xml:space="preserve">The </w:t>
      </w:r>
      <w:r>
        <w:rPr>
          <w:rFonts w:ascii="Verdana" w:hAnsi="Verdana" w:cs="Frutiger-Light"/>
          <w:sz w:val="20"/>
          <w:szCs w:val="20"/>
        </w:rPr>
        <w:t>Company has not established a whistle-blower procedure.</w:t>
      </w:r>
    </w:p>
    <w:p w:rsidR="00ED0BCB" w:rsidRDefault="00ED0BCB" w:rsidP="00ED0BCB">
      <w:pPr>
        <w:pStyle w:val="ListParagraph"/>
        <w:ind w:left="0"/>
        <w:jc w:val="both"/>
        <w:rPr>
          <w:rFonts w:ascii="Verdana" w:hAnsi="Verdana" w:cs="Frutiger-Light"/>
          <w:sz w:val="20"/>
          <w:szCs w:val="20"/>
        </w:rPr>
      </w:pPr>
    </w:p>
    <w:p w:rsidR="0012598D" w:rsidRDefault="0012598D" w:rsidP="00ED0BCB">
      <w:pPr>
        <w:pStyle w:val="ListParagraph"/>
        <w:ind w:left="0"/>
        <w:jc w:val="both"/>
        <w:rPr>
          <w:rFonts w:ascii="Verdana" w:hAnsi="Verdana" w:cs="Frutiger-Light"/>
          <w:sz w:val="20"/>
          <w:szCs w:val="20"/>
        </w:rPr>
      </w:pPr>
    </w:p>
    <w:p w:rsidR="0012598D" w:rsidRDefault="007C1CEC" w:rsidP="00ED0BCB">
      <w:pPr>
        <w:pStyle w:val="ListParagraph"/>
        <w:ind w:left="0"/>
        <w:jc w:val="both"/>
        <w:rPr>
          <w:rFonts w:ascii="Verdana" w:hAnsi="Verdana" w:cs="Frutiger-Light"/>
          <w:sz w:val="20"/>
          <w:szCs w:val="20"/>
        </w:rPr>
      </w:pPr>
      <w:r>
        <w:rPr>
          <w:rFonts w:ascii="Verdana" w:hAnsi="Verdana" w:cs="Frutiger-Light"/>
          <w:sz w:val="20"/>
          <w:szCs w:val="20"/>
        </w:rPr>
        <w:tab/>
      </w:r>
    </w:p>
    <w:p w:rsidR="007C1CEC" w:rsidRDefault="007C1CEC" w:rsidP="00ED0BCB">
      <w:pPr>
        <w:pStyle w:val="ListParagraph"/>
        <w:ind w:left="0"/>
        <w:jc w:val="both"/>
        <w:rPr>
          <w:rFonts w:ascii="Verdana" w:hAnsi="Verdana" w:cs="Frutiger-Light"/>
          <w:sz w:val="20"/>
          <w:szCs w:val="20"/>
        </w:rPr>
      </w:pPr>
    </w:p>
    <w:p w:rsidR="007C1CEC" w:rsidRDefault="007C1CEC" w:rsidP="00ED0BCB">
      <w:pPr>
        <w:pStyle w:val="ListParagraph"/>
        <w:ind w:left="0"/>
        <w:jc w:val="both"/>
        <w:rPr>
          <w:rFonts w:ascii="Verdana" w:hAnsi="Verdana" w:cs="Frutiger-Light"/>
          <w:sz w:val="20"/>
          <w:szCs w:val="20"/>
        </w:rPr>
      </w:pPr>
    </w:p>
    <w:p w:rsidR="00D23D11" w:rsidRPr="00ED0BCB" w:rsidRDefault="00A31FF4" w:rsidP="009A19B8">
      <w:pPr>
        <w:rPr>
          <w:rFonts w:ascii="Verdana" w:hAnsi="Verdana"/>
          <w:b/>
          <w:sz w:val="40"/>
          <w:szCs w:val="40"/>
        </w:rPr>
      </w:pPr>
      <w:bookmarkStart w:id="26" w:name="_Toc320195186"/>
      <w:r>
        <w:rPr>
          <w:rFonts w:ascii="Verdana" w:hAnsi="Verdana"/>
          <w:b/>
          <w:color w:val="17365D" w:themeColor="text2" w:themeShade="BF"/>
          <w:sz w:val="40"/>
          <w:szCs w:val="40"/>
          <w:lang w:val="en-GB"/>
        </w:rPr>
        <w:lastRenderedPageBreak/>
        <w:t>I</w:t>
      </w:r>
      <w:r w:rsidR="00D23D11" w:rsidRPr="00ED0BCB">
        <w:rPr>
          <w:rFonts w:ascii="Verdana" w:hAnsi="Verdana"/>
          <w:b/>
          <w:color w:val="17365D" w:themeColor="text2" w:themeShade="BF"/>
          <w:sz w:val="40"/>
          <w:szCs w:val="40"/>
          <w:lang w:val="en-GB"/>
        </w:rPr>
        <w:t>nternal Control</w:t>
      </w:r>
      <w:bookmarkEnd w:id="26"/>
      <w:r w:rsidR="00C62C39" w:rsidRPr="00ED0BCB">
        <w:rPr>
          <w:rFonts w:ascii="Verdana" w:hAnsi="Verdana"/>
          <w:b/>
          <w:color w:val="17365D" w:themeColor="text2" w:themeShade="BF"/>
          <w:sz w:val="40"/>
          <w:szCs w:val="40"/>
          <w:lang w:val="en-GB"/>
        </w:rPr>
        <w:t xml:space="preserve"> </w:t>
      </w:r>
    </w:p>
    <w:p w:rsidR="00983869" w:rsidRPr="00CD3067" w:rsidRDefault="00983869" w:rsidP="00983869">
      <w:pPr>
        <w:pStyle w:val="Subtitle"/>
        <w:spacing w:before="360" w:after="0"/>
        <w:jc w:val="both"/>
        <w:rPr>
          <w:rFonts w:ascii="Verdana" w:eastAsiaTheme="minorHAnsi" w:hAnsi="Verdana" w:cs="Frutiger-Bold"/>
          <w:b/>
          <w:bCs/>
          <w:i w:val="0"/>
          <w:iCs w:val="0"/>
          <w:color w:val="auto"/>
          <w:spacing w:val="0"/>
          <w:sz w:val="20"/>
          <w:szCs w:val="20"/>
          <w:lang w:val="en-GB"/>
        </w:rPr>
      </w:pPr>
      <w:bookmarkStart w:id="27" w:name="_Toc320195187"/>
      <w:r w:rsidRPr="00CD3067">
        <w:rPr>
          <w:rFonts w:ascii="Verdana" w:eastAsiaTheme="minorHAnsi" w:hAnsi="Verdana" w:cs="Frutiger-Bold"/>
          <w:b/>
          <w:bCs/>
          <w:i w:val="0"/>
          <w:iCs w:val="0"/>
          <w:color w:val="auto"/>
          <w:spacing w:val="0"/>
          <w:sz w:val="20"/>
          <w:szCs w:val="20"/>
          <w:lang w:val="en-GB"/>
        </w:rPr>
        <w:t>Control environment</w:t>
      </w:r>
    </w:p>
    <w:p w:rsidR="00983869" w:rsidRPr="00CD3067" w:rsidRDefault="00983869" w:rsidP="00983869">
      <w:pPr>
        <w:jc w:val="both"/>
        <w:rPr>
          <w:rFonts w:ascii="Verdana" w:hAnsi="Verdana" w:cs="Frutiger-Light"/>
          <w:sz w:val="20"/>
          <w:szCs w:val="20"/>
          <w:lang w:val="en-GB"/>
        </w:rPr>
      </w:pPr>
      <w:r>
        <w:rPr>
          <w:rFonts w:ascii="Verdana" w:eastAsiaTheme="minorEastAsia" w:hAnsi="Verdana" w:cs="Frutiger-Light"/>
          <w:sz w:val="20"/>
          <w:szCs w:val="20"/>
          <w:lang w:val="en-GB"/>
        </w:rPr>
        <w:t xml:space="preserve">For most of 2013, </w:t>
      </w:r>
      <w:r w:rsidRPr="00CD3067">
        <w:rPr>
          <w:rFonts w:ascii="Verdana" w:hAnsi="Verdana" w:cs="Frutiger-Light"/>
          <w:sz w:val="20"/>
          <w:szCs w:val="20"/>
          <w:lang w:val="en-GB"/>
        </w:rPr>
        <w:t>the management and administration of the Company has been outsourced to Tankers I</w:t>
      </w:r>
      <w:r>
        <w:rPr>
          <w:rFonts w:ascii="Verdana" w:hAnsi="Verdana" w:cs="Frutiger-Light"/>
          <w:sz w:val="20"/>
          <w:szCs w:val="20"/>
          <w:lang w:val="en-GB"/>
        </w:rPr>
        <w:t>nc. Holdings A/S.</w:t>
      </w:r>
      <w:r w:rsidRPr="00CD3067">
        <w:rPr>
          <w:rFonts w:ascii="Verdana" w:hAnsi="Verdana" w:cs="Frutiger-Light"/>
          <w:sz w:val="20"/>
          <w:szCs w:val="20"/>
          <w:lang w:val="en-GB"/>
        </w:rPr>
        <w:t xml:space="preserve"> </w:t>
      </w:r>
    </w:p>
    <w:p w:rsidR="00983869" w:rsidRPr="00CD3067" w:rsidRDefault="00983869" w:rsidP="00983869">
      <w:pPr>
        <w:jc w:val="both"/>
        <w:rPr>
          <w:rFonts w:ascii="Verdana" w:hAnsi="Verdana" w:cs="Frutiger-Light"/>
          <w:sz w:val="20"/>
          <w:szCs w:val="20"/>
          <w:lang w:val="en-GB"/>
        </w:rPr>
      </w:pPr>
      <w:r w:rsidRPr="00CD3067">
        <w:rPr>
          <w:rFonts w:ascii="Verdana" w:hAnsi="Verdana" w:cs="Frutiger-Light"/>
          <w:sz w:val="20"/>
          <w:szCs w:val="20"/>
          <w:lang w:val="en-GB"/>
        </w:rPr>
        <w:t xml:space="preserve">Following the completion of the restructuring in December 2013, Transport Capital Pte. Ltd. </w:t>
      </w:r>
      <w:r>
        <w:rPr>
          <w:rFonts w:ascii="Verdana" w:hAnsi="Verdana" w:cs="Frutiger-Light"/>
          <w:sz w:val="20"/>
          <w:szCs w:val="20"/>
          <w:lang w:val="en-GB"/>
        </w:rPr>
        <w:t>(</w:t>
      </w:r>
      <w:r w:rsidR="00C30074">
        <w:rPr>
          <w:rFonts w:ascii="Verdana" w:hAnsi="Verdana" w:cs="Frutiger-Light"/>
          <w:sz w:val="20"/>
          <w:szCs w:val="20"/>
          <w:lang w:val="en-GB"/>
        </w:rPr>
        <w:t>‘</w:t>
      </w:r>
      <w:r>
        <w:rPr>
          <w:rFonts w:ascii="Verdana" w:hAnsi="Verdana" w:cs="Frutiger-Light"/>
          <w:sz w:val="20"/>
          <w:szCs w:val="20"/>
          <w:lang w:val="en-GB"/>
        </w:rPr>
        <w:t>Transport Capital</w:t>
      </w:r>
      <w:r w:rsidR="00C30074">
        <w:rPr>
          <w:rFonts w:ascii="Verdana" w:hAnsi="Verdana" w:cs="Frutiger-Light"/>
          <w:sz w:val="20"/>
          <w:szCs w:val="20"/>
          <w:lang w:val="en-GB"/>
        </w:rPr>
        <w:t>’</w:t>
      </w:r>
      <w:r>
        <w:rPr>
          <w:rFonts w:ascii="Verdana" w:hAnsi="Verdana" w:cs="Frutiger-Light"/>
          <w:sz w:val="20"/>
          <w:szCs w:val="20"/>
          <w:lang w:val="en-GB"/>
        </w:rPr>
        <w:t xml:space="preserve">) </w:t>
      </w:r>
      <w:r w:rsidRPr="00CD3067">
        <w:rPr>
          <w:rFonts w:ascii="Verdana" w:hAnsi="Verdana" w:cs="Frutiger-Light"/>
          <w:sz w:val="20"/>
          <w:szCs w:val="20"/>
          <w:lang w:val="en-GB"/>
        </w:rPr>
        <w:t>has taken over the management and administration of the Company from Tankers Inc. Holdings A/S.</w:t>
      </w:r>
      <w:r>
        <w:rPr>
          <w:rFonts w:ascii="Verdana" w:hAnsi="Verdana" w:cs="Frutiger-Light"/>
          <w:sz w:val="20"/>
          <w:szCs w:val="20"/>
          <w:lang w:val="en-GB"/>
        </w:rPr>
        <w:t xml:space="preserve">  As with the previous manager, Transport Capital </w:t>
      </w:r>
      <w:r w:rsidRPr="00CD3067">
        <w:rPr>
          <w:rFonts w:ascii="Verdana" w:hAnsi="Verdana" w:cs="Frutiger-Light"/>
          <w:sz w:val="20"/>
          <w:szCs w:val="20"/>
          <w:lang w:val="en-GB"/>
        </w:rPr>
        <w:t>has authorities and procedures for entering into binding agreements on behalf of the Company</w:t>
      </w:r>
      <w:r>
        <w:rPr>
          <w:rFonts w:ascii="Verdana" w:hAnsi="Verdana" w:cs="Frutiger-Light"/>
          <w:sz w:val="20"/>
          <w:szCs w:val="20"/>
          <w:lang w:val="en-GB"/>
        </w:rPr>
        <w:t xml:space="preserve">.  Being a corporate manager, Transport Capital adheres to strict </w:t>
      </w:r>
      <w:r w:rsidRPr="00CD3067">
        <w:rPr>
          <w:rFonts w:ascii="Verdana" w:hAnsi="Verdana" w:cs="Frutiger-Light"/>
          <w:sz w:val="20"/>
          <w:szCs w:val="20"/>
          <w:lang w:val="en-GB"/>
        </w:rPr>
        <w:t xml:space="preserve">guidelines </w:t>
      </w:r>
      <w:r>
        <w:rPr>
          <w:rFonts w:ascii="Verdana" w:hAnsi="Verdana" w:cs="Frutiger-Light"/>
          <w:sz w:val="20"/>
          <w:szCs w:val="20"/>
          <w:lang w:val="en-GB"/>
        </w:rPr>
        <w:t>on</w:t>
      </w:r>
      <w:r w:rsidRPr="00CD3067">
        <w:rPr>
          <w:rFonts w:ascii="Verdana" w:hAnsi="Verdana" w:cs="Frutiger-Light"/>
          <w:sz w:val="20"/>
          <w:szCs w:val="20"/>
          <w:lang w:val="en-GB"/>
        </w:rPr>
        <w:t xml:space="preserve"> segregation of duties</w:t>
      </w:r>
      <w:r>
        <w:rPr>
          <w:rFonts w:ascii="Verdana" w:hAnsi="Verdana" w:cs="Frutiger-Light"/>
          <w:sz w:val="20"/>
          <w:szCs w:val="20"/>
          <w:lang w:val="en-GB"/>
        </w:rPr>
        <w:t>, reporting procedures, manages the overall corporate functions and oversees the technical and commercial aspects of the Company</w:t>
      </w:r>
      <w:r w:rsidRPr="00CD3067">
        <w:rPr>
          <w:rFonts w:ascii="Verdana" w:hAnsi="Verdana" w:cs="Frutiger-Light"/>
          <w:sz w:val="20"/>
          <w:szCs w:val="20"/>
          <w:lang w:val="en-GB"/>
        </w:rPr>
        <w:t>.</w:t>
      </w:r>
      <w:r>
        <w:rPr>
          <w:rFonts w:ascii="Verdana" w:hAnsi="Verdana" w:cs="Frutiger-Light"/>
          <w:sz w:val="20"/>
          <w:szCs w:val="20"/>
          <w:lang w:val="en-GB"/>
        </w:rPr>
        <w:t xml:space="preserve"> </w:t>
      </w:r>
    </w:p>
    <w:p w:rsidR="00983869" w:rsidRPr="00CD3067" w:rsidRDefault="00983869" w:rsidP="00983869">
      <w:pPr>
        <w:pStyle w:val="Subtitle"/>
        <w:spacing w:before="360" w:after="0"/>
        <w:jc w:val="both"/>
        <w:rPr>
          <w:rFonts w:ascii="Verdana" w:eastAsiaTheme="minorHAnsi" w:hAnsi="Verdana" w:cs="Frutiger-Bold"/>
          <w:b/>
          <w:bCs/>
          <w:i w:val="0"/>
          <w:iCs w:val="0"/>
          <w:color w:val="auto"/>
          <w:spacing w:val="0"/>
          <w:sz w:val="20"/>
          <w:szCs w:val="20"/>
          <w:lang w:val="en-GB"/>
        </w:rPr>
      </w:pPr>
      <w:r w:rsidRPr="00CD3067">
        <w:rPr>
          <w:rFonts w:ascii="Verdana" w:eastAsiaTheme="minorHAnsi" w:hAnsi="Verdana" w:cs="Frutiger-Bold"/>
          <w:b/>
          <w:bCs/>
          <w:i w:val="0"/>
          <w:iCs w:val="0"/>
          <w:color w:val="auto"/>
          <w:spacing w:val="0"/>
          <w:sz w:val="20"/>
          <w:szCs w:val="20"/>
          <w:lang w:val="en-GB"/>
        </w:rPr>
        <w:t>Financial reporting process</w:t>
      </w:r>
    </w:p>
    <w:p w:rsidR="00983869" w:rsidRPr="00CD3067" w:rsidRDefault="00983869" w:rsidP="00983869">
      <w:pPr>
        <w:pStyle w:val="Subtitle"/>
        <w:jc w:val="both"/>
        <w:rPr>
          <w:rFonts w:ascii="Verdana" w:eastAsiaTheme="minorEastAsia" w:hAnsi="Verdana" w:cs="Frutiger-Light"/>
          <w:i w:val="0"/>
          <w:iCs w:val="0"/>
          <w:color w:val="auto"/>
          <w:spacing w:val="0"/>
          <w:sz w:val="20"/>
          <w:szCs w:val="20"/>
          <w:lang w:val="en-GB"/>
        </w:rPr>
      </w:pPr>
      <w:r w:rsidRPr="00CD3067">
        <w:rPr>
          <w:rFonts w:ascii="Verdana" w:eastAsiaTheme="minorHAnsi" w:hAnsi="Verdana" w:cs="Frutiger-Light"/>
          <w:i w:val="0"/>
          <w:iCs w:val="0"/>
          <w:color w:val="auto"/>
          <w:spacing w:val="0"/>
          <w:sz w:val="20"/>
          <w:szCs w:val="20"/>
          <w:lang w:val="en-GB"/>
        </w:rPr>
        <w:t>T</w:t>
      </w:r>
      <w:r w:rsidRPr="00CD3067">
        <w:rPr>
          <w:rFonts w:ascii="Verdana" w:eastAsiaTheme="minorEastAsia" w:hAnsi="Verdana" w:cs="Frutiger-Light"/>
          <w:i w:val="0"/>
          <w:iCs w:val="0"/>
          <w:color w:val="auto"/>
          <w:spacing w:val="0"/>
          <w:sz w:val="20"/>
          <w:szCs w:val="20"/>
          <w:lang w:val="en-GB"/>
        </w:rPr>
        <w:t>he Board of D</w:t>
      </w:r>
      <w:r>
        <w:rPr>
          <w:rFonts w:ascii="Verdana" w:eastAsiaTheme="minorEastAsia" w:hAnsi="Verdana" w:cs="Frutiger-Light"/>
          <w:i w:val="0"/>
          <w:iCs w:val="0"/>
          <w:color w:val="auto"/>
          <w:spacing w:val="0"/>
          <w:sz w:val="20"/>
          <w:szCs w:val="20"/>
          <w:lang w:val="en-GB"/>
        </w:rPr>
        <w:t>irectors</w:t>
      </w:r>
      <w:r w:rsidRPr="00CD3067">
        <w:rPr>
          <w:rFonts w:ascii="Verdana" w:eastAsiaTheme="minorEastAsia" w:hAnsi="Verdana" w:cs="Frutiger-Light"/>
          <w:i w:val="0"/>
          <w:iCs w:val="0"/>
          <w:color w:val="auto"/>
          <w:spacing w:val="0"/>
          <w:sz w:val="20"/>
          <w:szCs w:val="20"/>
          <w:lang w:val="en-GB"/>
        </w:rPr>
        <w:t xml:space="preserve"> are responsible for the Group’s internal control and risk management in connection with the financial reporting process, including observance of relevant statutory rules and regulations in connection with its financial reporting.</w:t>
      </w:r>
    </w:p>
    <w:p w:rsidR="00983869" w:rsidRPr="00CD3067" w:rsidRDefault="00983869" w:rsidP="00983869">
      <w:pPr>
        <w:autoSpaceDE w:val="0"/>
        <w:autoSpaceDN w:val="0"/>
        <w:adjustRightInd w:val="0"/>
        <w:jc w:val="both"/>
        <w:rPr>
          <w:rFonts w:ascii="Verdana" w:hAnsi="Verdana" w:cs="Frutiger-Light"/>
          <w:sz w:val="20"/>
          <w:szCs w:val="20"/>
          <w:lang w:val="en-GB"/>
        </w:rPr>
      </w:pPr>
      <w:r w:rsidRPr="00CD3067">
        <w:rPr>
          <w:rFonts w:ascii="Verdana" w:hAnsi="Verdana" w:cs="Frutiger-Light"/>
          <w:sz w:val="20"/>
          <w:szCs w:val="20"/>
          <w:lang w:val="en-GB"/>
        </w:rPr>
        <w:t>The Board of Directors rece</w:t>
      </w:r>
      <w:r>
        <w:rPr>
          <w:rFonts w:ascii="Verdana" w:hAnsi="Verdana" w:cs="Frutiger-Light"/>
          <w:sz w:val="20"/>
          <w:szCs w:val="20"/>
          <w:lang w:val="en-GB"/>
        </w:rPr>
        <w:t>ives weekly and monthly reports and is kept abreast of the developments in the industry.</w:t>
      </w:r>
    </w:p>
    <w:p w:rsidR="00D23D11" w:rsidRDefault="00983869" w:rsidP="00983869">
      <w:pPr>
        <w:jc w:val="both"/>
        <w:rPr>
          <w:rFonts w:ascii="Verdana" w:eastAsiaTheme="majorEastAsia" w:hAnsi="Verdana" w:cstheme="majorBidi"/>
          <w:b/>
          <w:bCs/>
          <w:sz w:val="20"/>
          <w:szCs w:val="20"/>
          <w:lang w:val="en-GB" w:eastAsia="da-DK"/>
        </w:rPr>
      </w:pPr>
      <w:r w:rsidRPr="00CD3067">
        <w:rPr>
          <w:rFonts w:ascii="Verdana" w:hAnsi="Verdana" w:cs="Frutiger-Light"/>
          <w:sz w:val="20"/>
          <w:szCs w:val="20"/>
          <w:lang w:val="en-GB"/>
        </w:rPr>
        <w:t>Prior to publication of quarterly and annual reports</w:t>
      </w:r>
      <w:r>
        <w:rPr>
          <w:rFonts w:ascii="Verdana" w:hAnsi="Verdana" w:cs="Frutiger-Light"/>
          <w:sz w:val="20"/>
          <w:szCs w:val="20"/>
          <w:lang w:val="en-GB"/>
        </w:rPr>
        <w:t>,</w:t>
      </w:r>
      <w:r w:rsidRPr="00CD3067">
        <w:rPr>
          <w:rFonts w:ascii="Verdana" w:hAnsi="Verdana" w:cs="Frutiger-Light"/>
          <w:sz w:val="20"/>
          <w:szCs w:val="20"/>
          <w:lang w:val="en-GB"/>
        </w:rPr>
        <w:t xml:space="preserve"> a Board meeting is held. </w:t>
      </w:r>
      <w:r>
        <w:rPr>
          <w:rFonts w:ascii="Verdana" w:hAnsi="Verdana" w:cs="Frutiger-Light"/>
          <w:sz w:val="20"/>
          <w:szCs w:val="20"/>
          <w:lang w:val="en-GB"/>
        </w:rPr>
        <w:t xml:space="preserve"> </w:t>
      </w:r>
      <w:r w:rsidRPr="00CD3067">
        <w:rPr>
          <w:rFonts w:ascii="Verdana" w:hAnsi="Verdana" w:cs="Frutiger-Light"/>
          <w:sz w:val="20"/>
          <w:szCs w:val="20"/>
          <w:lang w:val="en-GB"/>
        </w:rPr>
        <w:t>At the meeting</w:t>
      </w:r>
      <w:r>
        <w:rPr>
          <w:rFonts w:ascii="Verdana" w:hAnsi="Verdana" w:cs="Frutiger-Light"/>
          <w:sz w:val="20"/>
          <w:szCs w:val="20"/>
          <w:lang w:val="en-GB"/>
        </w:rPr>
        <w:t>,</w:t>
      </w:r>
      <w:r w:rsidRPr="00CD3067">
        <w:rPr>
          <w:rFonts w:ascii="Verdana" w:hAnsi="Verdana" w:cs="Frutiger-Light"/>
          <w:sz w:val="20"/>
          <w:szCs w:val="20"/>
          <w:lang w:val="en-GB"/>
        </w:rPr>
        <w:t xml:space="preserve"> the reports are discussed and an overall assessment of the risks associated with the financial reporting process is made. </w:t>
      </w:r>
      <w:r>
        <w:rPr>
          <w:rFonts w:ascii="Verdana" w:hAnsi="Verdana" w:cs="Frutiger-Light"/>
          <w:sz w:val="20"/>
          <w:szCs w:val="20"/>
          <w:lang w:val="en-GB"/>
        </w:rPr>
        <w:t xml:space="preserve"> </w:t>
      </w:r>
      <w:r w:rsidRPr="00CD3067">
        <w:rPr>
          <w:rFonts w:ascii="Verdana" w:hAnsi="Verdana" w:cs="Frutiger-Light"/>
          <w:sz w:val="20"/>
          <w:szCs w:val="20"/>
          <w:lang w:val="en-GB"/>
        </w:rPr>
        <w:t xml:space="preserve">The financial statements are reviewed and explained relative to the budget and expectations. </w:t>
      </w:r>
      <w:r>
        <w:rPr>
          <w:rFonts w:ascii="Verdana" w:hAnsi="Verdana" w:cs="Frutiger-Light"/>
          <w:sz w:val="20"/>
          <w:szCs w:val="20"/>
          <w:lang w:val="en-GB"/>
        </w:rPr>
        <w:t xml:space="preserve"> </w:t>
      </w:r>
      <w:r w:rsidRPr="00CD3067">
        <w:rPr>
          <w:rFonts w:ascii="Verdana" w:hAnsi="Verdana" w:cs="Frutiger-Light"/>
          <w:sz w:val="20"/>
          <w:szCs w:val="20"/>
          <w:lang w:val="en-GB"/>
        </w:rPr>
        <w:t>Moreover, any estimates and assessments used in the financial reporting are discussed and decided on.</w:t>
      </w:r>
      <w:r w:rsidR="00D23D11">
        <w:rPr>
          <w:rFonts w:ascii="Verdana" w:hAnsi="Verdana"/>
          <w:sz w:val="20"/>
          <w:szCs w:val="20"/>
          <w:lang w:val="en-GB"/>
        </w:rPr>
        <w:br w:type="page"/>
      </w:r>
    </w:p>
    <w:p w:rsidR="00D23D11" w:rsidRPr="00EF3F29" w:rsidRDefault="00D23D11" w:rsidP="00D23D11">
      <w:pPr>
        <w:pStyle w:val="Heading1"/>
        <w:jc w:val="both"/>
        <w:rPr>
          <w:rFonts w:ascii="Verdana" w:hAnsi="Verdana"/>
          <w:color w:val="auto"/>
          <w:sz w:val="20"/>
          <w:szCs w:val="20"/>
          <w:lang w:val="en-GB"/>
        </w:rPr>
      </w:pPr>
      <w:r w:rsidRPr="00D23D11">
        <w:rPr>
          <w:rFonts w:ascii="Verdana" w:hAnsi="Verdana"/>
          <w:color w:val="17365D" w:themeColor="text2" w:themeShade="BF"/>
          <w:sz w:val="40"/>
          <w:szCs w:val="20"/>
          <w:lang w:val="en-GB"/>
        </w:rPr>
        <w:lastRenderedPageBreak/>
        <w:t>Risk Management</w:t>
      </w:r>
      <w:bookmarkEnd w:id="27"/>
      <w:r w:rsidR="00C62C39">
        <w:rPr>
          <w:rFonts w:ascii="Verdana" w:hAnsi="Verdana"/>
          <w:color w:val="17365D" w:themeColor="text2" w:themeShade="BF"/>
          <w:sz w:val="40"/>
          <w:szCs w:val="20"/>
          <w:lang w:val="en-GB"/>
        </w:rPr>
        <w:t xml:space="preserve"> </w:t>
      </w:r>
    </w:p>
    <w:p w:rsidR="00D23D11" w:rsidRPr="00EF3F29" w:rsidRDefault="00D23D11" w:rsidP="00D23D11">
      <w:pPr>
        <w:autoSpaceDE w:val="0"/>
        <w:autoSpaceDN w:val="0"/>
        <w:adjustRightInd w:val="0"/>
        <w:spacing w:after="0"/>
        <w:jc w:val="both"/>
        <w:rPr>
          <w:rFonts w:ascii="Verdana" w:hAnsi="Verdana" w:cs="Frutiger-Light"/>
          <w:sz w:val="20"/>
          <w:szCs w:val="20"/>
          <w:lang w:val="en-GB"/>
        </w:rPr>
      </w:pPr>
    </w:p>
    <w:p w:rsidR="00132D84" w:rsidRPr="00CD3067" w:rsidRDefault="00132D84" w:rsidP="00132D84">
      <w:pPr>
        <w:autoSpaceDE w:val="0"/>
        <w:autoSpaceDN w:val="0"/>
        <w:adjustRightInd w:val="0"/>
        <w:jc w:val="both"/>
        <w:rPr>
          <w:rFonts w:ascii="Verdana" w:hAnsi="Verdana" w:cs="Frutiger-Light"/>
          <w:sz w:val="20"/>
          <w:szCs w:val="20"/>
          <w:lang w:val="en-GB"/>
        </w:rPr>
      </w:pPr>
      <w:r w:rsidRPr="00CD3067">
        <w:rPr>
          <w:rFonts w:ascii="Verdana" w:hAnsi="Verdana" w:cs="Frutiger-Light"/>
          <w:sz w:val="20"/>
          <w:szCs w:val="20"/>
          <w:lang w:val="en-GB"/>
        </w:rPr>
        <w:t xml:space="preserve">The Company has identified risks considered to have the most significant effect on the financial position and business performance. </w:t>
      </w:r>
    </w:p>
    <w:p w:rsidR="00132D84" w:rsidRPr="00132D84" w:rsidRDefault="00132D84" w:rsidP="00132D84">
      <w:pPr>
        <w:pStyle w:val="Subtitle"/>
        <w:spacing w:before="480" w:after="0"/>
        <w:jc w:val="both"/>
        <w:rPr>
          <w:rFonts w:ascii="Verdana" w:eastAsiaTheme="minorHAnsi" w:hAnsi="Verdana" w:cs="Frutiger-Bold"/>
          <w:b/>
          <w:bCs/>
          <w:i w:val="0"/>
          <w:color w:val="95B3D7" w:themeColor="accent1" w:themeTint="99"/>
          <w:sz w:val="20"/>
          <w:szCs w:val="20"/>
          <w:lang w:val="en-GB"/>
        </w:rPr>
      </w:pPr>
      <w:r w:rsidRPr="00132D84">
        <w:rPr>
          <w:rFonts w:ascii="Verdana" w:eastAsiaTheme="minorHAnsi" w:hAnsi="Verdana" w:cs="Frutiger-Bold"/>
          <w:b/>
          <w:bCs/>
          <w:i w:val="0"/>
          <w:color w:val="95B3D7" w:themeColor="accent1" w:themeTint="99"/>
          <w:sz w:val="20"/>
          <w:szCs w:val="20"/>
          <w:lang w:val="en-GB"/>
        </w:rPr>
        <w:t>Operational risks</w:t>
      </w:r>
    </w:p>
    <w:p w:rsidR="00132D84" w:rsidRPr="00CD3067" w:rsidRDefault="00132D84" w:rsidP="00132D84">
      <w:pPr>
        <w:pStyle w:val="Subtitle"/>
        <w:spacing w:before="360" w:after="0"/>
        <w:jc w:val="both"/>
        <w:rPr>
          <w:rFonts w:ascii="Verdana" w:eastAsiaTheme="minorHAnsi" w:hAnsi="Verdana" w:cs="Frutiger-Bold"/>
          <w:b/>
          <w:bCs/>
          <w:i w:val="0"/>
          <w:iCs w:val="0"/>
          <w:color w:val="auto"/>
          <w:spacing w:val="0"/>
          <w:sz w:val="20"/>
          <w:szCs w:val="20"/>
          <w:lang w:val="en-GB"/>
        </w:rPr>
      </w:pPr>
      <w:r w:rsidRPr="00CD3067">
        <w:rPr>
          <w:rFonts w:ascii="Verdana" w:eastAsiaTheme="minorHAnsi" w:hAnsi="Verdana" w:cs="Frutiger-Bold"/>
          <w:b/>
          <w:bCs/>
          <w:i w:val="0"/>
          <w:iCs w:val="0"/>
          <w:color w:val="auto"/>
          <w:spacing w:val="0"/>
          <w:sz w:val="20"/>
          <w:szCs w:val="20"/>
          <w:lang w:val="en-GB"/>
        </w:rPr>
        <w:t>Freight rates</w:t>
      </w:r>
    </w:p>
    <w:p w:rsidR="00132D84" w:rsidRPr="00CD3067" w:rsidRDefault="00132D84" w:rsidP="00132D84">
      <w:pPr>
        <w:shd w:val="clear" w:color="auto" w:fill="FFFFFF"/>
        <w:jc w:val="both"/>
        <w:rPr>
          <w:rFonts w:ascii="Verdana" w:hAnsi="Verdana" w:cs="Frutiger-Light"/>
          <w:sz w:val="20"/>
          <w:szCs w:val="20"/>
          <w:lang w:val="en-GB"/>
        </w:rPr>
      </w:pPr>
      <w:r w:rsidRPr="00CD3067">
        <w:rPr>
          <w:rFonts w:ascii="Verdana" w:hAnsi="Verdana" w:cs="Frutiger-Light"/>
          <w:sz w:val="20"/>
          <w:szCs w:val="20"/>
          <w:lang w:val="en-GB"/>
        </w:rPr>
        <w:t xml:space="preserve">The Company is exposed to significant risks relating to the product tanker segment. Freight rates and market values of the vessels owned by the Company are the main risk elements. </w:t>
      </w:r>
    </w:p>
    <w:p w:rsidR="00132D84" w:rsidRPr="00CD3067" w:rsidDel="00164F84" w:rsidRDefault="00132D84" w:rsidP="00132D84">
      <w:pPr>
        <w:shd w:val="clear" w:color="auto" w:fill="FFFFFF"/>
        <w:jc w:val="both"/>
        <w:rPr>
          <w:rFonts w:ascii="Verdana" w:hAnsi="Verdana" w:cs="Frutiger-Light"/>
          <w:sz w:val="20"/>
          <w:szCs w:val="20"/>
          <w:lang w:val="en-GB"/>
        </w:rPr>
      </w:pPr>
      <w:r w:rsidRPr="00CD3067" w:rsidDel="00164F84">
        <w:rPr>
          <w:rFonts w:ascii="Verdana" w:hAnsi="Verdana" w:cs="Frutiger-Light"/>
          <w:sz w:val="20"/>
          <w:szCs w:val="20"/>
          <w:lang w:val="en-GB"/>
        </w:rPr>
        <w:t xml:space="preserve">Nordic </w:t>
      </w:r>
      <w:r w:rsidRPr="00CD3067">
        <w:rPr>
          <w:rFonts w:ascii="Verdana" w:hAnsi="Verdana" w:cs="Frutiger-Light"/>
          <w:sz w:val="20"/>
          <w:szCs w:val="20"/>
          <w:lang w:val="en-GB"/>
        </w:rPr>
        <w:t>Shipholding’s</w:t>
      </w:r>
      <w:r w:rsidRPr="00CD3067" w:rsidDel="00164F84">
        <w:rPr>
          <w:rFonts w:ascii="Verdana" w:hAnsi="Verdana" w:cs="Frutiger-Light"/>
          <w:sz w:val="20"/>
          <w:szCs w:val="20"/>
          <w:lang w:val="en-GB"/>
        </w:rPr>
        <w:t xml:space="preserve"> revenues are exclusively generated from activities in the product tanker</w:t>
      </w:r>
      <w:r w:rsidRPr="00CD3067">
        <w:rPr>
          <w:rFonts w:ascii="Verdana" w:hAnsi="Verdana" w:cs="Frutiger-Light"/>
          <w:sz w:val="20"/>
          <w:szCs w:val="20"/>
          <w:lang w:val="en-GB"/>
        </w:rPr>
        <w:t xml:space="preserve"> segment</w:t>
      </w:r>
      <w:r w:rsidRPr="00CD3067" w:rsidDel="00164F84">
        <w:rPr>
          <w:rFonts w:ascii="Verdana" w:hAnsi="Verdana" w:cs="Frutiger-Light"/>
          <w:sz w:val="20"/>
          <w:szCs w:val="20"/>
          <w:lang w:val="en-GB"/>
        </w:rPr>
        <w:t>.</w:t>
      </w:r>
      <w:r w:rsidRPr="00CD3067">
        <w:rPr>
          <w:rFonts w:ascii="Verdana" w:hAnsi="Verdana" w:cs="Frutiger-Light"/>
          <w:sz w:val="20"/>
          <w:szCs w:val="20"/>
          <w:lang w:val="en-GB"/>
        </w:rPr>
        <w:t xml:space="preserve"> </w:t>
      </w:r>
      <w:r w:rsidRPr="00CD3067" w:rsidDel="00164F84">
        <w:rPr>
          <w:rFonts w:ascii="Verdana" w:hAnsi="Verdana" w:cs="Frutiger-Light"/>
          <w:sz w:val="20"/>
          <w:szCs w:val="20"/>
          <w:lang w:val="en-GB"/>
        </w:rPr>
        <w:t xml:space="preserve">The tanker industry is cyclical and volatile, which can lead to reductions in freight rates, volumes and ship values. </w:t>
      </w:r>
    </w:p>
    <w:p w:rsidR="00132D84" w:rsidRPr="00CD3067" w:rsidDel="00164F84" w:rsidRDefault="00132D84" w:rsidP="00132D84">
      <w:pPr>
        <w:shd w:val="clear" w:color="auto" w:fill="FFFFFF"/>
        <w:jc w:val="both"/>
        <w:rPr>
          <w:rFonts w:ascii="Verdana" w:hAnsi="Verdana" w:cs="Frutiger-Light"/>
          <w:sz w:val="20"/>
          <w:szCs w:val="20"/>
          <w:lang w:val="en-GB"/>
        </w:rPr>
      </w:pPr>
      <w:r w:rsidRPr="00CD3067" w:rsidDel="00164F84">
        <w:rPr>
          <w:rFonts w:ascii="Verdana" w:hAnsi="Verdana" w:cs="Frutiger-Light"/>
          <w:sz w:val="20"/>
          <w:szCs w:val="20"/>
          <w:lang w:val="en-GB"/>
        </w:rPr>
        <w:t>Fluctuations in freight rates result from changes in the supply and demand for vessel capacity and changes in the supply and demand for the large varie</w:t>
      </w:r>
      <w:r>
        <w:rPr>
          <w:rFonts w:ascii="Verdana" w:hAnsi="Verdana" w:cs="Frutiger-Light"/>
          <w:sz w:val="20"/>
          <w:szCs w:val="20"/>
          <w:lang w:val="en-GB"/>
        </w:rPr>
        <w:t>ty of products that the vessels</w:t>
      </w:r>
      <w:r w:rsidRPr="00CD3067" w:rsidDel="00164F84">
        <w:rPr>
          <w:rFonts w:ascii="Verdana" w:hAnsi="Verdana" w:cs="Frutiger-Light"/>
          <w:sz w:val="20"/>
          <w:szCs w:val="20"/>
          <w:lang w:val="en-GB"/>
        </w:rPr>
        <w:t xml:space="preserve"> carry. </w:t>
      </w:r>
    </w:p>
    <w:p w:rsidR="00132D84" w:rsidRPr="00CD3067" w:rsidRDefault="00132D84" w:rsidP="00132D84">
      <w:pPr>
        <w:pStyle w:val="Subtitle"/>
        <w:spacing w:before="360" w:after="0"/>
        <w:jc w:val="both"/>
        <w:rPr>
          <w:rFonts w:ascii="Verdana" w:eastAsiaTheme="minorHAnsi" w:hAnsi="Verdana" w:cs="Frutiger-Bold"/>
          <w:b/>
          <w:bCs/>
          <w:i w:val="0"/>
          <w:iCs w:val="0"/>
          <w:color w:val="auto"/>
          <w:spacing w:val="0"/>
          <w:sz w:val="20"/>
          <w:szCs w:val="20"/>
          <w:lang w:val="en-GB"/>
        </w:rPr>
      </w:pPr>
      <w:r w:rsidRPr="00CD3067">
        <w:rPr>
          <w:rFonts w:ascii="Verdana" w:eastAsiaTheme="minorHAnsi" w:hAnsi="Verdana" w:cs="Frutiger-Bold"/>
          <w:b/>
          <w:bCs/>
          <w:i w:val="0"/>
          <w:iCs w:val="0"/>
          <w:color w:val="auto"/>
          <w:spacing w:val="0"/>
          <w:sz w:val="20"/>
          <w:szCs w:val="20"/>
          <w:lang w:val="en-GB"/>
        </w:rPr>
        <w:t>Pools</w:t>
      </w:r>
    </w:p>
    <w:p w:rsidR="00132D84" w:rsidRPr="00CD3067" w:rsidRDefault="00132D84" w:rsidP="00132D84">
      <w:pPr>
        <w:shd w:val="clear" w:color="auto" w:fill="FFFFFF"/>
        <w:jc w:val="both"/>
        <w:rPr>
          <w:rFonts w:ascii="Verdana" w:hAnsi="Verdana" w:cs="Frutiger-Light"/>
          <w:color w:val="FF0000"/>
          <w:sz w:val="20"/>
          <w:szCs w:val="20"/>
          <w:lang w:val="en-GB"/>
        </w:rPr>
      </w:pPr>
      <w:r w:rsidRPr="00CD3067">
        <w:rPr>
          <w:rFonts w:ascii="Verdana" w:hAnsi="Verdana" w:cs="Frutiger-Light"/>
          <w:sz w:val="20"/>
          <w:szCs w:val="20"/>
          <w:lang w:val="en-GB"/>
        </w:rPr>
        <w:t xml:space="preserve">The product tanker vessels have all been placed in leading pools. Consequently, Nordic Shipholding is dependent on the pools’ ability to attract customers and offer a product which is among the best in the market. </w:t>
      </w:r>
    </w:p>
    <w:p w:rsidR="00132D84" w:rsidRPr="00CD3067" w:rsidRDefault="00132D84" w:rsidP="00132D84">
      <w:pPr>
        <w:pStyle w:val="Subtitle"/>
        <w:spacing w:before="360" w:after="0"/>
        <w:jc w:val="both"/>
        <w:rPr>
          <w:rFonts w:ascii="Verdana" w:eastAsiaTheme="minorHAnsi" w:hAnsi="Verdana" w:cs="Frutiger-Bold"/>
          <w:b/>
          <w:bCs/>
          <w:i w:val="0"/>
          <w:iCs w:val="0"/>
          <w:color w:val="auto"/>
          <w:spacing w:val="0"/>
          <w:sz w:val="20"/>
          <w:szCs w:val="20"/>
          <w:lang w:val="en-GB"/>
        </w:rPr>
      </w:pPr>
      <w:r w:rsidRPr="00CD3067">
        <w:rPr>
          <w:rFonts w:ascii="Verdana" w:eastAsiaTheme="minorHAnsi" w:hAnsi="Verdana" w:cs="Frutiger-Bold"/>
          <w:b/>
          <w:bCs/>
          <w:i w:val="0"/>
          <w:iCs w:val="0"/>
          <w:color w:val="auto"/>
          <w:spacing w:val="0"/>
          <w:sz w:val="20"/>
          <w:szCs w:val="20"/>
          <w:lang w:val="en-GB"/>
        </w:rPr>
        <w:t>Bunkers</w:t>
      </w:r>
    </w:p>
    <w:p w:rsidR="00132D84" w:rsidRPr="00CD3067" w:rsidRDefault="00132D84" w:rsidP="00132D84">
      <w:pPr>
        <w:shd w:val="clear" w:color="auto" w:fill="FFFFFF"/>
        <w:jc w:val="both"/>
        <w:rPr>
          <w:rFonts w:ascii="Verdana" w:hAnsi="Verdana" w:cs="Frutiger-Light"/>
          <w:sz w:val="20"/>
          <w:szCs w:val="20"/>
          <w:lang w:val="en-GB"/>
        </w:rPr>
      </w:pPr>
      <w:r w:rsidRPr="00CD3067">
        <w:rPr>
          <w:rFonts w:ascii="Verdana" w:hAnsi="Verdana" w:cs="Frutiger-Light"/>
          <w:sz w:val="20"/>
          <w:szCs w:val="20"/>
          <w:lang w:val="en-GB"/>
        </w:rPr>
        <w:t xml:space="preserve">Bunker fuels constitute the major component affecting TCE earnings, and increasing prices can have a material impact on Nordic Shipholding’s results. </w:t>
      </w:r>
    </w:p>
    <w:p w:rsidR="00132D84" w:rsidRPr="00132D84" w:rsidRDefault="00132D84" w:rsidP="00132D84">
      <w:pPr>
        <w:pStyle w:val="Subtitle"/>
        <w:spacing w:before="480" w:after="0"/>
        <w:jc w:val="both"/>
        <w:rPr>
          <w:rFonts w:ascii="Verdana" w:eastAsiaTheme="minorHAnsi" w:hAnsi="Verdana" w:cs="Frutiger-Bold"/>
          <w:b/>
          <w:bCs/>
          <w:i w:val="0"/>
          <w:color w:val="95B3D7" w:themeColor="accent1" w:themeTint="99"/>
          <w:sz w:val="20"/>
          <w:szCs w:val="20"/>
          <w:lang w:val="en-GB"/>
        </w:rPr>
      </w:pPr>
      <w:r w:rsidRPr="00132D84">
        <w:rPr>
          <w:rFonts w:ascii="Verdana" w:eastAsiaTheme="minorHAnsi" w:hAnsi="Verdana" w:cs="Frutiger-Bold"/>
          <w:b/>
          <w:bCs/>
          <w:i w:val="0"/>
          <w:color w:val="95B3D7" w:themeColor="accent1" w:themeTint="99"/>
          <w:sz w:val="20"/>
          <w:szCs w:val="20"/>
          <w:lang w:val="en-GB"/>
        </w:rPr>
        <w:t>Financial risks</w:t>
      </w:r>
    </w:p>
    <w:p w:rsidR="00132D84" w:rsidRPr="00CD3067" w:rsidRDefault="00132D84" w:rsidP="00132D84">
      <w:pPr>
        <w:pStyle w:val="Subtitle"/>
        <w:spacing w:before="360" w:after="0"/>
        <w:jc w:val="both"/>
        <w:rPr>
          <w:rFonts w:ascii="Verdana" w:eastAsiaTheme="minorHAnsi" w:hAnsi="Verdana" w:cs="Frutiger-Bold"/>
          <w:b/>
          <w:bCs/>
          <w:i w:val="0"/>
          <w:iCs w:val="0"/>
          <w:color w:val="auto"/>
          <w:spacing w:val="0"/>
          <w:sz w:val="20"/>
          <w:szCs w:val="20"/>
          <w:lang w:val="en-GB"/>
        </w:rPr>
      </w:pPr>
      <w:r w:rsidRPr="00CD3067">
        <w:rPr>
          <w:rFonts w:ascii="Verdana" w:eastAsiaTheme="minorHAnsi" w:hAnsi="Verdana" w:cs="Frutiger-Bold"/>
          <w:b/>
          <w:bCs/>
          <w:i w:val="0"/>
          <w:iCs w:val="0"/>
          <w:color w:val="auto"/>
          <w:spacing w:val="0"/>
          <w:sz w:val="20"/>
          <w:szCs w:val="20"/>
          <w:lang w:val="en-GB"/>
        </w:rPr>
        <w:t>Financing and Cash flow</w:t>
      </w:r>
    </w:p>
    <w:p w:rsidR="00132D84" w:rsidRDefault="00132D84" w:rsidP="00132D84">
      <w:pPr>
        <w:shd w:val="clear" w:color="auto" w:fill="FFFFFF"/>
        <w:jc w:val="both"/>
        <w:rPr>
          <w:rFonts w:ascii="Verdana" w:hAnsi="Verdana" w:cs="Frutiger-Light"/>
          <w:sz w:val="20"/>
          <w:szCs w:val="20"/>
          <w:lang w:val="en-GB"/>
        </w:rPr>
      </w:pPr>
      <w:r w:rsidRPr="00CD3067">
        <w:rPr>
          <w:rFonts w:ascii="Verdana" w:hAnsi="Verdana" w:cs="Frutiger-Light"/>
          <w:sz w:val="20"/>
          <w:szCs w:val="20"/>
          <w:lang w:val="en-GB"/>
        </w:rPr>
        <w:t>In the current market situation, access to cash is an important factor for the Company’s development. Nordic Shipholding monitors its cash flow situation carefully</w:t>
      </w:r>
      <w:r>
        <w:rPr>
          <w:rFonts w:ascii="Verdana" w:hAnsi="Verdana" w:cs="Frutiger-Light"/>
          <w:sz w:val="20"/>
          <w:szCs w:val="20"/>
          <w:lang w:val="en-GB"/>
        </w:rPr>
        <w:t xml:space="preserve"> to ensure it has adequate liquidity for its working capital requirements and principal repayments and interest payments</w:t>
      </w:r>
      <w:r w:rsidRPr="00CD3067">
        <w:rPr>
          <w:rFonts w:ascii="Verdana" w:hAnsi="Verdana" w:cs="Frutiger-Light"/>
          <w:sz w:val="20"/>
          <w:szCs w:val="20"/>
          <w:lang w:val="en-GB"/>
        </w:rPr>
        <w:t>.</w:t>
      </w:r>
    </w:p>
    <w:p w:rsidR="00132D84" w:rsidRDefault="00132D84" w:rsidP="00132D84">
      <w:pPr>
        <w:widowControl w:val="0"/>
        <w:adjustRightInd w:val="0"/>
        <w:spacing w:after="0" w:line="240" w:lineRule="auto"/>
        <w:jc w:val="both"/>
        <w:textAlignment w:val="baseline"/>
        <w:rPr>
          <w:rFonts w:ascii="Verdana" w:hAnsi="Verdana"/>
          <w:snapToGrid w:val="0"/>
          <w:sz w:val="20"/>
          <w:szCs w:val="20"/>
        </w:rPr>
      </w:pPr>
      <w:r w:rsidRPr="003D286A">
        <w:rPr>
          <w:rFonts w:ascii="Verdana" w:hAnsi="Verdana" w:cs="Frutiger-Light"/>
          <w:sz w:val="20"/>
          <w:szCs w:val="20"/>
        </w:rPr>
        <w:t>Current loan agreement</w:t>
      </w:r>
      <w:r w:rsidR="00143F77">
        <w:rPr>
          <w:rFonts w:ascii="Verdana" w:hAnsi="Verdana" w:cs="Frutiger-Light"/>
          <w:sz w:val="20"/>
          <w:szCs w:val="20"/>
        </w:rPr>
        <w:t xml:space="preserve">s include financial covenants including </w:t>
      </w:r>
      <w:r w:rsidRPr="003D286A">
        <w:rPr>
          <w:rFonts w:ascii="Verdana" w:hAnsi="Verdana" w:cs="Frutiger-Light"/>
          <w:sz w:val="20"/>
          <w:szCs w:val="20"/>
        </w:rPr>
        <w:t>(i) m</w:t>
      </w:r>
      <w:r w:rsidRPr="003D286A">
        <w:rPr>
          <w:rFonts w:ascii="Verdana" w:hAnsi="Verdana"/>
          <w:snapToGrid w:val="0"/>
          <w:sz w:val="20"/>
          <w:szCs w:val="20"/>
        </w:rPr>
        <w:t xml:space="preserve">inimum liquidity levels (from </w:t>
      </w:r>
      <w:r>
        <w:rPr>
          <w:rFonts w:ascii="Verdana" w:hAnsi="Verdana"/>
          <w:snapToGrid w:val="0"/>
          <w:sz w:val="20"/>
          <w:szCs w:val="20"/>
        </w:rPr>
        <w:t xml:space="preserve">19 </w:t>
      </w:r>
      <w:r>
        <w:rPr>
          <w:rFonts w:ascii="Verdana" w:hAnsi="Verdana"/>
          <w:sz w:val="20"/>
          <w:szCs w:val="20"/>
        </w:rPr>
        <w:t xml:space="preserve">December </w:t>
      </w:r>
      <w:r w:rsidRPr="003D286A">
        <w:rPr>
          <w:rFonts w:ascii="Verdana" w:hAnsi="Verdana"/>
          <w:sz w:val="20"/>
          <w:szCs w:val="20"/>
        </w:rPr>
        <w:t>2014 onwards)</w:t>
      </w:r>
      <w:r w:rsidRPr="003D286A">
        <w:rPr>
          <w:rFonts w:ascii="Verdana" w:hAnsi="Verdana"/>
          <w:snapToGrid w:val="0"/>
          <w:sz w:val="20"/>
          <w:szCs w:val="20"/>
        </w:rPr>
        <w:t xml:space="preserve">, (ii) minimum value clause (fair market value of vessels as a percentage of outstanding loan) and (iii) minimum equity ratio. </w:t>
      </w:r>
    </w:p>
    <w:p w:rsidR="00132D84" w:rsidRDefault="00132D84" w:rsidP="00132D84">
      <w:pPr>
        <w:widowControl w:val="0"/>
        <w:adjustRightInd w:val="0"/>
        <w:spacing w:after="0" w:line="240" w:lineRule="auto"/>
        <w:jc w:val="both"/>
        <w:textAlignment w:val="baseline"/>
        <w:rPr>
          <w:rFonts w:ascii="Verdana" w:hAnsi="Verdana"/>
          <w:snapToGrid w:val="0"/>
          <w:sz w:val="20"/>
          <w:szCs w:val="20"/>
        </w:rPr>
      </w:pPr>
    </w:p>
    <w:p w:rsidR="00132D84" w:rsidRDefault="00132D84" w:rsidP="00132D84">
      <w:pPr>
        <w:jc w:val="both"/>
        <w:rPr>
          <w:rFonts w:ascii="Verdana" w:hAnsi="Verdana"/>
          <w:sz w:val="20"/>
          <w:szCs w:val="20"/>
          <w:lang w:val="en-GB"/>
        </w:rPr>
      </w:pPr>
      <w:r w:rsidRPr="00CD3067">
        <w:rPr>
          <w:rFonts w:ascii="Verdana" w:hAnsi="Verdana" w:cs="Frutiger-Light"/>
          <w:sz w:val="20"/>
          <w:szCs w:val="20"/>
          <w:lang w:val="en-GB"/>
        </w:rPr>
        <w:t xml:space="preserve">Nordic Shipholding </w:t>
      </w:r>
      <w:r w:rsidRPr="003D286A">
        <w:rPr>
          <w:rFonts w:ascii="Verdana" w:hAnsi="Verdana"/>
          <w:snapToGrid w:val="0"/>
          <w:sz w:val="20"/>
          <w:szCs w:val="20"/>
        </w:rPr>
        <w:t xml:space="preserve">is also subject to a </w:t>
      </w:r>
      <w:r w:rsidRPr="003D286A">
        <w:rPr>
          <w:rFonts w:ascii="Verdana" w:hAnsi="Verdana"/>
          <w:bCs/>
          <w:kern w:val="28"/>
          <w:sz w:val="20"/>
          <w:szCs w:val="20"/>
        </w:rPr>
        <w:t xml:space="preserve">cash sweep mechanism under which </w:t>
      </w:r>
      <w:r w:rsidRPr="00CD3067">
        <w:rPr>
          <w:rFonts w:ascii="Verdana" w:hAnsi="Verdana" w:cs="Frutiger-Light"/>
          <w:sz w:val="20"/>
          <w:szCs w:val="20"/>
          <w:lang w:val="en-GB"/>
        </w:rPr>
        <w:t xml:space="preserve">Nordic Shipholding </w:t>
      </w:r>
      <w:r w:rsidRPr="003D286A">
        <w:rPr>
          <w:rFonts w:ascii="Verdana" w:hAnsi="Verdana"/>
          <w:sz w:val="20"/>
          <w:szCs w:val="20"/>
          <w:lang w:val="en-GB"/>
        </w:rPr>
        <w:t xml:space="preserve">each quarter after payment of instalments and interest under the </w:t>
      </w:r>
      <w:r w:rsidRPr="003D286A">
        <w:rPr>
          <w:rFonts w:ascii="Verdana" w:hAnsi="Verdana" w:cs="Frutiger-Light"/>
          <w:sz w:val="20"/>
          <w:szCs w:val="20"/>
        </w:rPr>
        <w:t xml:space="preserve">loan agreement, </w:t>
      </w:r>
      <w:r w:rsidRPr="003D286A">
        <w:rPr>
          <w:rFonts w:ascii="Verdana" w:hAnsi="Verdana"/>
          <w:sz w:val="20"/>
          <w:szCs w:val="20"/>
          <w:lang w:val="en-GB"/>
        </w:rPr>
        <w:t>must apply any cash and cash equivalents of the Group in excess of USD 6</w:t>
      </w:r>
      <w:r w:rsidR="00D06CCC">
        <w:rPr>
          <w:rFonts w:ascii="Verdana" w:hAnsi="Verdana"/>
          <w:sz w:val="20"/>
          <w:szCs w:val="20"/>
          <w:lang w:val="en-GB"/>
        </w:rPr>
        <w:t>.0 million</w:t>
      </w:r>
      <w:r w:rsidRPr="003D286A">
        <w:rPr>
          <w:rFonts w:ascii="Verdana" w:hAnsi="Verdana"/>
          <w:sz w:val="20"/>
          <w:szCs w:val="20"/>
          <w:lang w:val="en-GB"/>
        </w:rPr>
        <w:t xml:space="preserve"> towards prepayment of the loan. Hence, </w:t>
      </w:r>
      <w:r w:rsidRPr="00CD3067">
        <w:rPr>
          <w:rFonts w:ascii="Verdana" w:hAnsi="Verdana" w:cs="Frutiger-Light"/>
          <w:sz w:val="20"/>
          <w:szCs w:val="20"/>
          <w:lang w:val="en-GB"/>
        </w:rPr>
        <w:t xml:space="preserve">Nordic Shipholding </w:t>
      </w:r>
      <w:r w:rsidRPr="003D286A">
        <w:rPr>
          <w:rFonts w:ascii="Verdana" w:hAnsi="Verdana"/>
          <w:bCs/>
          <w:kern w:val="28"/>
          <w:sz w:val="20"/>
          <w:szCs w:val="20"/>
        </w:rPr>
        <w:t>is restricted from accumulating cash reserves to make strategic vessel acquisitions</w:t>
      </w:r>
      <w:r w:rsidR="00143F77">
        <w:rPr>
          <w:rFonts w:ascii="Verdana" w:hAnsi="Verdana"/>
          <w:bCs/>
          <w:kern w:val="28"/>
          <w:sz w:val="20"/>
          <w:szCs w:val="20"/>
        </w:rPr>
        <w:t xml:space="preserve"> to expand its business and has</w:t>
      </w:r>
      <w:r w:rsidRPr="003D286A">
        <w:rPr>
          <w:rFonts w:ascii="Verdana" w:hAnsi="Verdana"/>
          <w:bCs/>
          <w:kern w:val="28"/>
          <w:sz w:val="20"/>
          <w:szCs w:val="20"/>
        </w:rPr>
        <w:t xml:space="preserve"> to </w:t>
      </w:r>
      <w:r w:rsidRPr="003D286A">
        <w:rPr>
          <w:rFonts w:ascii="Verdana" w:hAnsi="Verdana"/>
          <w:sz w:val="20"/>
          <w:szCs w:val="20"/>
          <w:lang w:val="en-GB"/>
        </w:rPr>
        <w:t>attract new equity to expand the business.</w:t>
      </w:r>
    </w:p>
    <w:p w:rsidR="00132D84" w:rsidRDefault="00132D84" w:rsidP="00132D84">
      <w:pPr>
        <w:jc w:val="both"/>
        <w:rPr>
          <w:rFonts w:ascii="Verdana" w:hAnsi="Verdana"/>
          <w:sz w:val="20"/>
          <w:szCs w:val="20"/>
          <w:u w:val="single"/>
          <w:lang w:val="en-GB"/>
        </w:rPr>
      </w:pPr>
    </w:p>
    <w:p w:rsidR="00753B50" w:rsidRDefault="00753B50" w:rsidP="00132D84">
      <w:pPr>
        <w:jc w:val="both"/>
        <w:rPr>
          <w:rFonts w:ascii="Verdana" w:hAnsi="Verdana"/>
          <w:sz w:val="20"/>
          <w:szCs w:val="20"/>
          <w:u w:val="single"/>
          <w:lang w:val="en-GB"/>
        </w:rPr>
      </w:pPr>
    </w:p>
    <w:p w:rsidR="00753B50" w:rsidRDefault="00753B50" w:rsidP="00132D84">
      <w:pPr>
        <w:jc w:val="both"/>
        <w:rPr>
          <w:rFonts w:ascii="Verdana" w:hAnsi="Verdana"/>
          <w:sz w:val="20"/>
          <w:szCs w:val="20"/>
          <w:u w:val="single"/>
          <w:lang w:val="en-GB"/>
        </w:rPr>
      </w:pPr>
    </w:p>
    <w:p w:rsidR="00132D84" w:rsidRPr="00920707" w:rsidRDefault="00132D84" w:rsidP="00753B50">
      <w:pPr>
        <w:pStyle w:val="Subtitle"/>
        <w:spacing w:before="360" w:after="0"/>
        <w:jc w:val="both"/>
        <w:rPr>
          <w:rFonts w:ascii="Verdana" w:eastAsiaTheme="minorHAnsi" w:hAnsi="Verdana" w:cs="Frutiger-Bold"/>
          <w:b/>
          <w:bCs/>
          <w:i w:val="0"/>
          <w:iCs w:val="0"/>
          <w:color w:val="auto"/>
          <w:spacing w:val="0"/>
          <w:sz w:val="20"/>
          <w:szCs w:val="20"/>
          <w:lang w:val="en-GB"/>
        </w:rPr>
      </w:pPr>
      <w:r w:rsidRPr="00920707">
        <w:rPr>
          <w:rFonts w:ascii="Verdana" w:eastAsiaTheme="minorHAnsi" w:hAnsi="Verdana" w:cs="Frutiger-Bold"/>
          <w:b/>
          <w:bCs/>
          <w:i w:val="0"/>
          <w:iCs w:val="0"/>
          <w:color w:val="auto"/>
          <w:spacing w:val="0"/>
          <w:sz w:val="20"/>
          <w:szCs w:val="20"/>
          <w:lang w:val="en-GB"/>
        </w:rPr>
        <w:t>Interest rates</w:t>
      </w:r>
    </w:p>
    <w:p w:rsidR="00132D84" w:rsidRPr="00753B50" w:rsidRDefault="00143F77" w:rsidP="00753B50">
      <w:pPr>
        <w:spacing w:after="0"/>
        <w:jc w:val="both"/>
        <w:rPr>
          <w:rFonts w:ascii="Verdana" w:hAnsi="Verdana"/>
          <w:sz w:val="20"/>
          <w:szCs w:val="20"/>
          <w:lang w:val="en-GB"/>
        </w:rPr>
      </w:pPr>
      <w:r>
        <w:rPr>
          <w:rFonts w:ascii="Verdana" w:hAnsi="Verdana"/>
          <w:sz w:val="20"/>
          <w:szCs w:val="20"/>
          <w:lang w:val="en-GB"/>
        </w:rPr>
        <w:t xml:space="preserve">Nordic Shipholding’s </w:t>
      </w:r>
      <w:r w:rsidR="00132D84" w:rsidRPr="00753B50">
        <w:rPr>
          <w:rFonts w:ascii="Verdana" w:hAnsi="Verdana"/>
          <w:sz w:val="20"/>
          <w:szCs w:val="20"/>
          <w:lang w:val="en-GB"/>
        </w:rPr>
        <w:t>interest bearing debt with variable interest amounted to USD 10</w:t>
      </w:r>
      <w:r>
        <w:rPr>
          <w:rFonts w:ascii="Verdana" w:hAnsi="Verdana"/>
          <w:sz w:val="20"/>
          <w:szCs w:val="20"/>
          <w:lang w:val="en-GB"/>
        </w:rPr>
        <w:t>4</w:t>
      </w:r>
      <w:r w:rsidR="00753B50" w:rsidRPr="00753B50">
        <w:rPr>
          <w:rFonts w:ascii="Verdana" w:hAnsi="Verdana"/>
          <w:sz w:val="20"/>
          <w:szCs w:val="20"/>
          <w:lang w:val="en-GB"/>
        </w:rPr>
        <w:t>.0</w:t>
      </w:r>
      <w:r w:rsidR="00132D84" w:rsidRPr="00753B50">
        <w:rPr>
          <w:rFonts w:ascii="Verdana" w:hAnsi="Verdana"/>
          <w:sz w:val="20"/>
          <w:szCs w:val="20"/>
          <w:lang w:val="en-GB"/>
        </w:rPr>
        <w:t xml:space="preserve"> million as per 31 December 2013 (USD 170</w:t>
      </w:r>
      <w:r w:rsidR="00753B50" w:rsidRPr="00753B50">
        <w:rPr>
          <w:rFonts w:ascii="Verdana" w:hAnsi="Verdana"/>
          <w:sz w:val="20"/>
          <w:szCs w:val="20"/>
          <w:lang w:val="en-GB"/>
        </w:rPr>
        <w:t>.0</w:t>
      </w:r>
      <w:r w:rsidR="00132D84" w:rsidRPr="00753B50">
        <w:rPr>
          <w:rFonts w:ascii="Verdana" w:hAnsi="Verdana"/>
          <w:sz w:val="20"/>
          <w:szCs w:val="20"/>
          <w:lang w:val="en-GB"/>
        </w:rPr>
        <w:t xml:space="preserve"> million). This debt is composed of loans denominated in USD. </w:t>
      </w:r>
    </w:p>
    <w:p w:rsidR="00753B50" w:rsidRPr="00753B50" w:rsidRDefault="00753B50" w:rsidP="00753B50">
      <w:pPr>
        <w:spacing w:after="0" w:line="240" w:lineRule="auto"/>
        <w:jc w:val="both"/>
        <w:rPr>
          <w:rFonts w:ascii="Verdana" w:hAnsi="Verdana"/>
          <w:sz w:val="20"/>
          <w:szCs w:val="20"/>
          <w:lang w:val="en-GB"/>
        </w:rPr>
      </w:pPr>
    </w:p>
    <w:p w:rsidR="00132D84" w:rsidRPr="00753B50" w:rsidRDefault="00132D84" w:rsidP="00753B50">
      <w:pPr>
        <w:pStyle w:val="TextMain"/>
        <w:spacing w:after="200" w:line="276" w:lineRule="auto"/>
        <w:rPr>
          <w:sz w:val="20"/>
          <w:szCs w:val="20"/>
          <w:highlight w:val="green"/>
          <w:lang w:val="en-GB"/>
        </w:rPr>
      </w:pPr>
      <w:r w:rsidRPr="00753B50">
        <w:rPr>
          <w:bCs/>
          <w:kern w:val="28"/>
          <w:sz w:val="20"/>
          <w:szCs w:val="20"/>
        </w:rPr>
        <w:t xml:space="preserve">All of the </w:t>
      </w:r>
      <w:r w:rsidRPr="00753B50">
        <w:rPr>
          <w:sz w:val="20"/>
          <w:szCs w:val="20"/>
          <w:lang w:val="en-GB" w:eastAsia="en-GB"/>
        </w:rPr>
        <w:t>Company’s</w:t>
      </w:r>
      <w:r w:rsidRPr="00753B50">
        <w:rPr>
          <w:bCs/>
          <w:kern w:val="28"/>
          <w:sz w:val="20"/>
          <w:szCs w:val="20"/>
        </w:rPr>
        <w:t xml:space="preserve"> interest rate swap transactions were closed-out in connection with </w:t>
      </w:r>
      <w:r w:rsidRPr="00753B50">
        <w:rPr>
          <w:sz w:val="20"/>
          <w:szCs w:val="20"/>
          <w:lang w:val="en-GB" w:eastAsia="en-GB"/>
        </w:rPr>
        <w:t>the restructuring. The Company is prohibited from entering into new derivative transactions to hedge its interest rate exposur</w:t>
      </w:r>
      <w:r w:rsidR="00F65C36">
        <w:rPr>
          <w:sz w:val="20"/>
          <w:szCs w:val="20"/>
          <w:lang w:val="en-GB" w:eastAsia="en-GB"/>
        </w:rPr>
        <w:t>e, unless approved by the lending bank</w:t>
      </w:r>
      <w:r w:rsidRPr="00753B50">
        <w:rPr>
          <w:sz w:val="20"/>
          <w:szCs w:val="20"/>
          <w:lang w:val="en-GB" w:eastAsia="en-GB"/>
        </w:rPr>
        <w:t xml:space="preserve">s. Hence, </w:t>
      </w:r>
      <w:r w:rsidRPr="00753B50">
        <w:rPr>
          <w:bCs/>
          <w:kern w:val="28"/>
          <w:sz w:val="20"/>
          <w:szCs w:val="20"/>
        </w:rPr>
        <w:t xml:space="preserve">the </w:t>
      </w:r>
      <w:r w:rsidRPr="00753B50">
        <w:rPr>
          <w:sz w:val="20"/>
          <w:szCs w:val="20"/>
          <w:lang w:val="en-GB" w:eastAsia="en-GB"/>
        </w:rPr>
        <w:t>Company’s</w:t>
      </w:r>
      <w:r w:rsidRPr="00753B50">
        <w:rPr>
          <w:bCs/>
          <w:kern w:val="28"/>
          <w:sz w:val="20"/>
          <w:szCs w:val="20"/>
        </w:rPr>
        <w:t xml:space="preserve"> </w:t>
      </w:r>
      <w:r w:rsidRPr="00753B50">
        <w:rPr>
          <w:sz w:val="20"/>
          <w:szCs w:val="20"/>
          <w:lang w:val="en-GB" w:eastAsia="en-GB"/>
        </w:rPr>
        <w:t xml:space="preserve">entire debt is now uncovered in relation to interest risks. Any changes in interest rates could therefore have a material adverse effect on the Group’s future performance, results of operations, cash flows and financial position. </w:t>
      </w:r>
    </w:p>
    <w:p w:rsidR="00132D84" w:rsidRPr="00753B50" w:rsidRDefault="00132D84" w:rsidP="00753B50">
      <w:pPr>
        <w:pStyle w:val="Subtitle"/>
        <w:spacing w:before="360" w:after="0"/>
        <w:jc w:val="both"/>
        <w:rPr>
          <w:rFonts w:ascii="Verdana" w:eastAsiaTheme="minorHAnsi" w:hAnsi="Verdana" w:cs="Frutiger-Bold"/>
          <w:b/>
          <w:bCs/>
          <w:i w:val="0"/>
          <w:iCs w:val="0"/>
          <w:color w:val="auto"/>
          <w:spacing w:val="0"/>
          <w:sz w:val="20"/>
          <w:szCs w:val="20"/>
          <w:lang w:val="en-GB"/>
        </w:rPr>
      </w:pPr>
      <w:r w:rsidRPr="00753B50">
        <w:rPr>
          <w:rFonts w:ascii="Verdana" w:eastAsiaTheme="minorHAnsi" w:hAnsi="Verdana" w:cs="Frutiger-Bold"/>
          <w:b/>
          <w:bCs/>
          <w:i w:val="0"/>
          <w:iCs w:val="0"/>
          <w:color w:val="auto"/>
          <w:spacing w:val="0"/>
          <w:sz w:val="20"/>
          <w:szCs w:val="20"/>
          <w:lang w:val="en-GB"/>
        </w:rPr>
        <w:t>Foreign exchange risks</w:t>
      </w:r>
    </w:p>
    <w:p w:rsidR="00132D84" w:rsidRPr="00753B50" w:rsidRDefault="00132D84" w:rsidP="00753B50">
      <w:pPr>
        <w:pStyle w:val="TextMain"/>
        <w:spacing w:after="0" w:line="276" w:lineRule="auto"/>
        <w:ind w:right="-1"/>
        <w:rPr>
          <w:color w:val="auto"/>
          <w:sz w:val="20"/>
          <w:szCs w:val="20"/>
          <w:lang w:val="en-GB" w:eastAsia="en-GB"/>
        </w:rPr>
      </w:pPr>
      <w:r w:rsidRPr="00753B50">
        <w:rPr>
          <w:sz w:val="20"/>
          <w:szCs w:val="20"/>
          <w:lang w:val="en-GB" w:eastAsia="en-GB"/>
        </w:rPr>
        <w:t xml:space="preserve">The Company uses USD as the functional currency because the majority of the Company’s transactions are denominated in USD. Thus the Company’s exchange rate risk is related to cash flows not denominated in USD. The primary risk relates to transactions denominated in DKK, EUR, SGD and other major currencies, and relates to administrative and operating expenses. </w:t>
      </w:r>
    </w:p>
    <w:p w:rsidR="00132D84" w:rsidRPr="00753B50" w:rsidRDefault="00132D84" w:rsidP="00753B50">
      <w:pPr>
        <w:pStyle w:val="Subtitle"/>
        <w:spacing w:before="360" w:after="0"/>
        <w:jc w:val="both"/>
        <w:rPr>
          <w:rFonts w:ascii="Verdana" w:eastAsiaTheme="minorHAnsi" w:hAnsi="Verdana" w:cs="Frutiger-Bold"/>
          <w:b/>
          <w:bCs/>
          <w:i w:val="0"/>
          <w:iCs w:val="0"/>
          <w:color w:val="auto"/>
          <w:spacing w:val="0"/>
          <w:sz w:val="20"/>
          <w:szCs w:val="20"/>
          <w:lang w:val="en-GB"/>
        </w:rPr>
      </w:pPr>
      <w:r w:rsidRPr="00753B50">
        <w:rPr>
          <w:rFonts w:ascii="Verdana" w:eastAsiaTheme="minorHAnsi" w:hAnsi="Verdana" w:cs="Frutiger-Bold"/>
          <w:b/>
          <w:bCs/>
          <w:i w:val="0"/>
          <w:iCs w:val="0"/>
          <w:color w:val="auto"/>
          <w:spacing w:val="0"/>
          <w:sz w:val="20"/>
          <w:szCs w:val="20"/>
          <w:lang w:val="en-GB"/>
        </w:rPr>
        <w:t>Credit risk</w:t>
      </w:r>
    </w:p>
    <w:p w:rsidR="00132D84" w:rsidRPr="00753B50" w:rsidRDefault="00132D84" w:rsidP="00753B50">
      <w:pPr>
        <w:pStyle w:val="TextMain"/>
        <w:spacing w:after="0" w:line="276" w:lineRule="auto"/>
        <w:rPr>
          <w:sz w:val="20"/>
          <w:szCs w:val="20"/>
          <w:lang w:val="en-GB" w:eastAsia="en-GB"/>
        </w:rPr>
      </w:pPr>
      <w:r w:rsidRPr="00753B50">
        <w:rPr>
          <w:sz w:val="20"/>
          <w:szCs w:val="20"/>
          <w:lang w:val="en-GB" w:eastAsia="en-GB"/>
        </w:rPr>
        <w:t xml:space="preserve">Nordic Shipholding is reliant on the two pools and their respective pool managers to distribute the allocated earnings on a regular basis. It is the Group’s policy to cooperate with recognised pool partners in order to minimise this risk. Should the pools, however, fail to honour its obligations under the pool agreement and/or delay the distribution of pool earnings, Nordic Shipholding could sustain significant losses which could have a material adverse effect on Nordic Shipholding’s future performance, results of operations, cash flows and financial position.  Furthermore, if a pool agreement is terminated or expires, Nordic Shipholding might not be able to find employment for the Group’s vessels under similar conditions, which could have a material adverse effect on the Group’s future performance, results of operations, cash flows and financial position. </w:t>
      </w:r>
    </w:p>
    <w:p w:rsidR="00132D84" w:rsidRPr="00D133B5" w:rsidRDefault="00132D84" w:rsidP="00753B50">
      <w:pPr>
        <w:jc w:val="both"/>
        <w:rPr>
          <w:rFonts w:ascii="Verdana" w:hAnsi="Verdana"/>
          <w:sz w:val="20"/>
          <w:szCs w:val="20"/>
          <w:lang w:val="en-GB"/>
        </w:rPr>
      </w:pPr>
    </w:p>
    <w:p w:rsidR="00636232" w:rsidRPr="00D133B5" w:rsidRDefault="00636232" w:rsidP="00D133B5">
      <w:pPr>
        <w:jc w:val="both"/>
        <w:rPr>
          <w:rFonts w:ascii="Verdana" w:hAnsi="Verdana"/>
          <w:sz w:val="20"/>
          <w:szCs w:val="20"/>
          <w:lang w:val="en-GB"/>
        </w:rPr>
      </w:pPr>
    </w:p>
    <w:p w:rsidR="00D23D11" w:rsidRPr="00D133B5" w:rsidRDefault="00D23D11">
      <w:pPr>
        <w:rPr>
          <w:rFonts w:ascii="Verdana" w:eastAsiaTheme="majorEastAsia" w:hAnsi="Verdana" w:cstheme="majorBidi"/>
          <w:b/>
          <w:bCs/>
          <w:color w:val="17365D" w:themeColor="text2" w:themeShade="BF"/>
          <w:sz w:val="40"/>
          <w:szCs w:val="20"/>
          <w:lang w:val="en-GB" w:eastAsia="da-DK"/>
        </w:rPr>
      </w:pPr>
      <w:bookmarkStart w:id="28" w:name="_Toc320195188"/>
      <w:r w:rsidRPr="00D133B5">
        <w:rPr>
          <w:rFonts w:ascii="Verdana" w:hAnsi="Verdana"/>
          <w:color w:val="17365D" w:themeColor="text2" w:themeShade="BF"/>
          <w:sz w:val="40"/>
          <w:szCs w:val="20"/>
          <w:lang w:val="en-GB"/>
        </w:rPr>
        <w:br w:type="page"/>
      </w:r>
    </w:p>
    <w:p w:rsidR="00D23D11" w:rsidRDefault="0000012C" w:rsidP="00D23D11">
      <w:pPr>
        <w:pStyle w:val="Heading1"/>
        <w:jc w:val="both"/>
        <w:rPr>
          <w:rFonts w:ascii="Verdana" w:hAnsi="Verdana"/>
          <w:color w:val="17365D" w:themeColor="text2" w:themeShade="BF"/>
          <w:sz w:val="40"/>
          <w:szCs w:val="20"/>
          <w:lang w:val="en-GB"/>
        </w:rPr>
      </w:pPr>
      <w:r>
        <w:rPr>
          <w:rFonts w:ascii="Verdana" w:hAnsi="Verdana"/>
          <w:color w:val="17365D" w:themeColor="text2" w:themeShade="BF"/>
          <w:sz w:val="40"/>
          <w:szCs w:val="20"/>
          <w:lang w:val="en-GB"/>
        </w:rPr>
        <w:lastRenderedPageBreak/>
        <w:t>Corporate Social R</w:t>
      </w:r>
      <w:r w:rsidR="00D23D11" w:rsidRPr="00D23D11">
        <w:rPr>
          <w:rFonts w:ascii="Verdana" w:hAnsi="Verdana"/>
          <w:color w:val="17365D" w:themeColor="text2" w:themeShade="BF"/>
          <w:sz w:val="40"/>
          <w:szCs w:val="20"/>
          <w:lang w:val="en-GB"/>
        </w:rPr>
        <w:t>esponsibility (CSR)</w:t>
      </w:r>
      <w:bookmarkEnd w:id="28"/>
    </w:p>
    <w:p w:rsidR="00D23D11" w:rsidRDefault="00D23D11" w:rsidP="00D23D11">
      <w:pPr>
        <w:autoSpaceDE w:val="0"/>
        <w:autoSpaceDN w:val="0"/>
        <w:adjustRightInd w:val="0"/>
        <w:spacing w:after="0"/>
        <w:jc w:val="both"/>
        <w:rPr>
          <w:rFonts w:ascii="Verdana" w:hAnsi="Verdana" w:cs="Flama-Bold"/>
          <w:bCs/>
          <w:sz w:val="20"/>
          <w:szCs w:val="20"/>
          <w:lang w:val="en-GB"/>
        </w:rPr>
      </w:pPr>
    </w:p>
    <w:p w:rsidR="0004750C" w:rsidRPr="00EF3F29" w:rsidRDefault="0004750C" w:rsidP="00C62DE9">
      <w:pPr>
        <w:autoSpaceDE w:val="0"/>
        <w:autoSpaceDN w:val="0"/>
        <w:adjustRightInd w:val="0"/>
        <w:jc w:val="both"/>
        <w:rPr>
          <w:rFonts w:ascii="Verdana" w:hAnsi="Verdana" w:cs="Flama-Bold"/>
          <w:bCs/>
          <w:sz w:val="20"/>
          <w:szCs w:val="20"/>
          <w:lang w:val="en-GB"/>
        </w:rPr>
      </w:pPr>
      <w:bookmarkStart w:id="29" w:name="_Toc288652128"/>
      <w:bookmarkStart w:id="30" w:name="_Toc288663895"/>
      <w:bookmarkStart w:id="31" w:name="_Toc288652129"/>
      <w:bookmarkStart w:id="32" w:name="_Toc288663896"/>
      <w:bookmarkStart w:id="33" w:name="_Toc288652130"/>
      <w:bookmarkStart w:id="34" w:name="_Toc288663897"/>
      <w:bookmarkStart w:id="35" w:name="_Toc288652131"/>
      <w:bookmarkStart w:id="36" w:name="_Toc288663898"/>
      <w:bookmarkEnd w:id="29"/>
      <w:bookmarkEnd w:id="30"/>
      <w:bookmarkEnd w:id="31"/>
      <w:bookmarkEnd w:id="32"/>
      <w:bookmarkEnd w:id="33"/>
      <w:bookmarkEnd w:id="34"/>
      <w:bookmarkEnd w:id="35"/>
      <w:bookmarkEnd w:id="36"/>
      <w:r>
        <w:rPr>
          <w:rFonts w:ascii="Verdana" w:hAnsi="Verdana" w:cs="Arial"/>
          <w:sz w:val="20"/>
          <w:lang w:val="en-GB"/>
        </w:rPr>
        <w:t>As at the date of this annual report, Nordic Shipholding does not have a written CSR policy d</w:t>
      </w:r>
      <w:r w:rsidRPr="000A07C6">
        <w:rPr>
          <w:rFonts w:ascii="Verdana" w:hAnsi="Verdana" w:cs="Arial"/>
          <w:sz w:val="20"/>
          <w:lang w:val="en-GB"/>
        </w:rPr>
        <w:t>ue to the functional structure of the C</w:t>
      </w:r>
      <w:r>
        <w:rPr>
          <w:rFonts w:ascii="Verdana" w:hAnsi="Verdana" w:cs="Arial"/>
          <w:sz w:val="20"/>
          <w:lang w:val="en-GB"/>
        </w:rPr>
        <w:t>ompany, where</w:t>
      </w:r>
      <w:r w:rsidRPr="000A07C6">
        <w:rPr>
          <w:rFonts w:ascii="Verdana" w:hAnsi="Verdana" w:cs="Arial"/>
          <w:sz w:val="20"/>
          <w:lang w:val="en-GB"/>
        </w:rPr>
        <w:t xml:space="preserve"> all corporate, commercial and technical management have been outsourced to external management service provid</w:t>
      </w:r>
      <w:r>
        <w:rPr>
          <w:rFonts w:ascii="Verdana" w:hAnsi="Verdana" w:cs="Arial"/>
          <w:sz w:val="20"/>
          <w:lang w:val="en-GB"/>
        </w:rPr>
        <w:t xml:space="preserve">ers. </w:t>
      </w:r>
      <w:r>
        <w:rPr>
          <w:rFonts w:ascii="Verdana" w:hAnsi="Verdana" w:cs="Flama-Bold"/>
          <w:bCs/>
          <w:sz w:val="20"/>
          <w:szCs w:val="20"/>
          <w:lang w:val="en-GB"/>
        </w:rPr>
        <w:t>Depending on the future developments of the Company, a CSR policy will be developed accordingly.</w:t>
      </w:r>
    </w:p>
    <w:p w:rsidR="00D23D11" w:rsidRPr="00EF3F29" w:rsidRDefault="00D23D11" w:rsidP="00D23D11">
      <w:pPr>
        <w:autoSpaceDE w:val="0"/>
        <w:autoSpaceDN w:val="0"/>
        <w:adjustRightInd w:val="0"/>
        <w:jc w:val="both"/>
        <w:rPr>
          <w:rFonts w:ascii="Verdana" w:eastAsia="Calibri" w:hAnsi="Verdana" w:cs="Times New Roman"/>
          <w:sz w:val="20"/>
          <w:szCs w:val="20"/>
          <w:lang w:val="en-GB"/>
        </w:rPr>
      </w:pPr>
    </w:p>
    <w:p w:rsidR="00D23D11" w:rsidRDefault="00D23D11">
      <w:pPr>
        <w:rPr>
          <w:rFonts w:ascii="Verdana" w:eastAsiaTheme="majorEastAsia" w:hAnsi="Verdana" w:cstheme="majorBidi"/>
          <w:b/>
          <w:bCs/>
          <w:color w:val="17365D" w:themeColor="text2" w:themeShade="BF"/>
          <w:sz w:val="40"/>
          <w:szCs w:val="20"/>
          <w:lang w:val="en-GB" w:eastAsia="da-DK"/>
        </w:rPr>
      </w:pPr>
      <w:bookmarkStart w:id="37" w:name="_Toc288652133"/>
      <w:bookmarkStart w:id="38" w:name="_Toc288663900"/>
      <w:bookmarkStart w:id="39" w:name="_Toc288652134"/>
      <w:bookmarkStart w:id="40" w:name="_Toc288663901"/>
      <w:bookmarkStart w:id="41" w:name="_Toc288652135"/>
      <w:bookmarkStart w:id="42" w:name="_Toc288663902"/>
      <w:bookmarkStart w:id="43" w:name="_Toc288652136"/>
      <w:bookmarkStart w:id="44" w:name="_Toc288663903"/>
      <w:bookmarkStart w:id="45" w:name="_Toc288652137"/>
      <w:bookmarkStart w:id="46" w:name="_Toc288663904"/>
      <w:bookmarkStart w:id="47" w:name="_Toc320195190"/>
      <w:bookmarkEnd w:id="37"/>
      <w:bookmarkEnd w:id="38"/>
      <w:bookmarkEnd w:id="39"/>
      <w:bookmarkEnd w:id="40"/>
      <w:bookmarkEnd w:id="41"/>
      <w:bookmarkEnd w:id="42"/>
      <w:bookmarkEnd w:id="43"/>
      <w:bookmarkEnd w:id="44"/>
      <w:bookmarkEnd w:id="45"/>
      <w:bookmarkEnd w:id="46"/>
      <w:r>
        <w:rPr>
          <w:rFonts w:ascii="Verdana" w:hAnsi="Verdana"/>
          <w:color w:val="17365D" w:themeColor="text2" w:themeShade="BF"/>
          <w:sz w:val="40"/>
          <w:szCs w:val="20"/>
          <w:lang w:val="en-GB"/>
        </w:rPr>
        <w:br w:type="page"/>
      </w:r>
    </w:p>
    <w:p w:rsidR="00D23D11" w:rsidRPr="00013AE8" w:rsidRDefault="0000012C" w:rsidP="00D23D11">
      <w:pPr>
        <w:pStyle w:val="Heading1"/>
        <w:rPr>
          <w:rFonts w:ascii="Verdana" w:hAnsi="Verdana"/>
          <w:sz w:val="20"/>
          <w:szCs w:val="20"/>
          <w:lang w:val="en-GB"/>
        </w:rPr>
      </w:pPr>
      <w:r>
        <w:rPr>
          <w:rFonts w:ascii="Verdana" w:hAnsi="Verdana"/>
          <w:color w:val="17365D" w:themeColor="text2" w:themeShade="BF"/>
          <w:sz w:val="40"/>
          <w:szCs w:val="20"/>
          <w:lang w:val="en-GB"/>
        </w:rPr>
        <w:lastRenderedPageBreak/>
        <w:t>Shareholders I</w:t>
      </w:r>
      <w:r w:rsidR="00D23D11" w:rsidRPr="00D23D11">
        <w:rPr>
          <w:rFonts w:ascii="Verdana" w:hAnsi="Verdana"/>
          <w:color w:val="17365D" w:themeColor="text2" w:themeShade="BF"/>
          <w:sz w:val="40"/>
          <w:szCs w:val="20"/>
          <w:lang w:val="en-GB"/>
        </w:rPr>
        <w:t>nformation</w:t>
      </w:r>
      <w:bookmarkEnd w:id="47"/>
      <w:r w:rsidR="00C62C39">
        <w:rPr>
          <w:rFonts w:ascii="Verdana" w:hAnsi="Verdana"/>
          <w:color w:val="17365D" w:themeColor="text2" w:themeShade="BF"/>
          <w:sz w:val="40"/>
          <w:szCs w:val="20"/>
          <w:lang w:val="en-GB"/>
        </w:rPr>
        <w:t xml:space="preserve"> </w:t>
      </w:r>
    </w:p>
    <w:p w:rsidR="00D23D11" w:rsidRPr="00D133B5" w:rsidRDefault="00D23D11" w:rsidP="00D133B5">
      <w:pPr>
        <w:pStyle w:val="Subtitle"/>
        <w:spacing w:before="360" w:after="240"/>
        <w:jc w:val="both"/>
        <w:rPr>
          <w:rFonts w:ascii="Verdana" w:eastAsiaTheme="minorHAnsi" w:hAnsi="Verdana" w:cs="Frutiger-Bold"/>
          <w:b/>
          <w:bCs/>
          <w:i w:val="0"/>
          <w:iCs w:val="0"/>
          <w:color w:val="auto"/>
          <w:spacing w:val="0"/>
          <w:sz w:val="20"/>
          <w:szCs w:val="20"/>
          <w:lang w:val="en-GB"/>
        </w:rPr>
      </w:pPr>
      <w:r w:rsidRPr="00013AE8">
        <w:rPr>
          <w:rFonts w:ascii="Verdana" w:eastAsiaTheme="minorHAnsi" w:hAnsi="Verdana" w:cs="Frutiger-Bold"/>
          <w:b/>
          <w:bCs/>
          <w:i w:val="0"/>
          <w:iCs w:val="0"/>
          <w:color w:val="auto"/>
          <w:spacing w:val="0"/>
          <w:sz w:val="20"/>
          <w:szCs w:val="20"/>
          <w:lang w:val="en-GB"/>
        </w:rPr>
        <w:t>Share data a</w:t>
      </w:r>
      <w:r w:rsidR="00D133B5">
        <w:rPr>
          <w:rFonts w:ascii="Verdana" w:eastAsiaTheme="minorHAnsi" w:hAnsi="Verdana" w:cs="Frutiger-Bold"/>
          <w:b/>
          <w:bCs/>
          <w:i w:val="0"/>
          <w:iCs w:val="0"/>
          <w:color w:val="auto"/>
          <w:spacing w:val="0"/>
          <w:sz w:val="20"/>
          <w:szCs w:val="20"/>
          <w:lang w:val="en-GB"/>
        </w:rPr>
        <w:t>t</w:t>
      </w:r>
      <w:r w:rsidR="000566B2">
        <w:rPr>
          <w:rFonts w:ascii="Verdana" w:eastAsiaTheme="minorHAnsi" w:hAnsi="Verdana" w:cs="Frutiger-Bold"/>
          <w:b/>
          <w:bCs/>
          <w:i w:val="0"/>
          <w:iCs w:val="0"/>
          <w:color w:val="auto"/>
          <w:spacing w:val="0"/>
          <w:sz w:val="20"/>
          <w:szCs w:val="20"/>
          <w:lang w:val="en-GB"/>
        </w:rPr>
        <w:t xml:space="preserve"> 31 December 2013</w:t>
      </w:r>
    </w:p>
    <w:p w:rsidR="00D23D11" w:rsidRPr="00EF3F29" w:rsidRDefault="00D23D11" w:rsidP="00D23D11">
      <w:pPr>
        <w:jc w:val="both"/>
        <w:rPr>
          <w:rFonts w:ascii="Verdana" w:hAnsi="Verdana"/>
          <w:sz w:val="20"/>
          <w:szCs w:val="20"/>
          <w:lang w:val="en-GB"/>
        </w:rPr>
      </w:pPr>
      <w:r w:rsidRPr="00EF3F29">
        <w:rPr>
          <w:rFonts w:ascii="Verdana" w:hAnsi="Verdana"/>
          <w:sz w:val="20"/>
          <w:szCs w:val="20"/>
          <w:lang w:val="en-GB"/>
        </w:rPr>
        <w:t>Listed on: NASDAQ OMX Copenhagen</w:t>
      </w:r>
    </w:p>
    <w:p w:rsidR="00D23D11" w:rsidRPr="00EF3F29" w:rsidRDefault="00D23D11" w:rsidP="00D23D11">
      <w:pPr>
        <w:jc w:val="both"/>
        <w:rPr>
          <w:rFonts w:ascii="Verdana" w:hAnsi="Verdana"/>
          <w:sz w:val="20"/>
          <w:szCs w:val="20"/>
          <w:lang w:val="en-GB"/>
        </w:rPr>
      </w:pPr>
      <w:r w:rsidRPr="00EF3F29">
        <w:rPr>
          <w:rFonts w:ascii="Verdana" w:hAnsi="Verdana"/>
          <w:sz w:val="20"/>
          <w:szCs w:val="20"/>
          <w:lang w:val="en-GB"/>
        </w:rPr>
        <w:t xml:space="preserve">Share capital: DKK </w:t>
      </w:r>
      <w:r w:rsidR="000566B2">
        <w:rPr>
          <w:rFonts w:ascii="Verdana" w:hAnsi="Verdana"/>
          <w:sz w:val="20"/>
          <w:szCs w:val="20"/>
          <w:lang w:val="en-GB"/>
        </w:rPr>
        <w:t>40,615,840</w:t>
      </w:r>
    </w:p>
    <w:p w:rsidR="00D23D11" w:rsidRPr="00EF3F29" w:rsidRDefault="000566B2" w:rsidP="00D23D11">
      <w:pPr>
        <w:jc w:val="both"/>
        <w:rPr>
          <w:rFonts w:ascii="Verdana" w:hAnsi="Verdana"/>
          <w:sz w:val="20"/>
          <w:szCs w:val="20"/>
          <w:lang w:val="en-GB"/>
        </w:rPr>
      </w:pPr>
      <w:r>
        <w:rPr>
          <w:rFonts w:ascii="Verdana" w:hAnsi="Verdana"/>
          <w:sz w:val="20"/>
          <w:szCs w:val="20"/>
          <w:lang w:val="en-GB"/>
        </w:rPr>
        <w:t>Nominal value: DKK 0.1</w:t>
      </w:r>
    </w:p>
    <w:p w:rsidR="00D23D11" w:rsidRDefault="00D23D11" w:rsidP="00D23D11">
      <w:pPr>
        <w:jc w:val="both"/>
        <w:rPr>
          <w:rFonts w:ascii="Verdana" w:hAnsi="Verdana"/>
          <w:sz w:val="20"/>
          <w:szCs w:val="20"/>
          <w:lang w:val="en-GB"/>
        </w:rPr>
      </w:pPr>
      <w:r w:rsidRPr="00EF3F29">
        <w:rPr>
          <w:rFonts w:ascii="Verdana" w:hAnsi="Verdana"/>
          <w:sz w:val="20"/>
          <w:szCs w:val="20"/>
          <w:lang w:val="en-GB"/>
        </w:rPr>
        <w:t xml:space="preserve">Shares issued: </w:t>
      </w:r>
      <w:r w:rsidR="000566B2">
        <w:rPr>
          <w:rFonts w:ascii="Verdana" w:hAnsi="Verdana"/>
          <w:sz w:val="20"/>
          <w:szCs w:val="20"/>
          <w:lang w:val="en-GB"/>
        </w:rPr>
        <w:t>406,158,403</w:t>
      </w:r>
      <w:r w:rsidRPr="00EF3F29">
        <w:rPr>
          <w:rFonts w:ascii="Verdana" w:hAnsi="Verdana"/>
          <w:sz w:val="20"/>
          <w:szCs w:val="20"/>
          <w:lang w:val="en-GB"/>
        </w:rPr>
        <w:t xml:space="preserve"> shares</w:t>
      </w:r>
    </w:p>
    <w:p w:rsidR="00443B9A" w:rsidRDefault="003F18FC" w:rsidP="00443B9A">
      <w:pPr>
        <w:spacing w:after="0" w:line="240" w:lineRule="auto"/>
        <w:rPr>
          <w:rFonts w:ascii="Verdana" w:hAnsi="Verdana"/>
          <w:sz w:val="20"/>
          <w:szCs w:val="20"/>
          <w:lang w:val="en-GB"/>
        </w:rPr>
      </w:pPr>
      <w:r>
        <w:rPr>
          <w:rFonts w:ascii="Verdana" w:hAnsi="Verdana"/>
          <w:sz w:val="20"/>
          <w:szCs w:val="20"/>
          <w:lang w:val="en-GB"/>
        </w:rPr>
        <w:t xml:space="preserve">Shares trading on </w:t>
      </w:r>
      <w:r w:rsidRPr="00EF3F29">
        <w:rPr>
          <w:rFonts w:ascii="Verdana" w:hAnsi="Verdana"/>
          <w:sz w:val="20"/>
          <w:szCs w:val="20"/>
          <w:lang w:val="en-GB"/>
        </w:rPr>
        <w:t>NASDAQ OMX Copenhagen</w:t>
      </w:r>
      <w:r>
        <w:rPr>
          <w:rFonts w:ascii="Verdana" w:hAnsi="Verdana"/>
          <w:sz w:val="20"/>
          <w:szCs w:val="20"/>
          <w:lang w:val="en-GB"/>
        </w:rPr>
        <w:t>: 38,946,697 shares</w:t>
      </w:r>
      <w:r w:rsidR="00443B9A">
        <w:rPr>
          <w:rFonts w:ascii="Verdana" w:hAnsi="Verdana"/>
          <w:sz w:val="20"/>
          <w:szCs w:val="20"/>
          <w:lang w:val="en-GB"/>
        </w:rPr>
        <w:t xml:space="preserve"> </w:t>
      </w:r>
    </w:p>
    <w:p w:rsidR="00443B9A" w:rsidRPr="00EF3F29" w:rsidRDefault="00443B9A" w:rsidP="00443B9A">
      <w:pPr>
        <w:spacing w:after="0" w:line="240" w:lineRule="auto"/>
        <w:rPr>
          <w:rFonts w:ascii="Verdana" w:hAnsi="Verdana"/>
          <w:sz w:val="20"/>
          <w:szCs w:val="20"/>
          <w:lang w:val="en-GB"/>
        </w:rPr>
      </w:pPr>
      <w:r>
        <w:rPr>
          <w:rFonts w:ascii="Verdana" w:hAnsi="Verdana"/>
          <w:sz w:val="20"/>
          <w:szCs w:val="20"/>
          <w:lang w:val="en-GB"/>
        </w:rPr>
        <w:t>(</w:t>
      </w:r>
      <w:r w:rsidRPr="00EF3F29">
        <w:rPr>
          <w:rFonts w:ascii="Verdana" w:hAnsi="Verdana"/>
          <w:sz w:val="20"/>
          <w:szCs w:val="20"/>
          <w:lang w:val="en-GB"/>
        </w:rPr>
        <w:t>Security ID code: DK0060083996</w:t>
      </w:r>
      <w:r>
        <w:rPr>
          <w:rFonts w:ascii="Verdana" w:hAnsi="Verdana"/>
          <w:sz w:val="20"/>
          <w:szCs w:val="20"/>
          <w:lang w:val="en-GB"/>
        </w:rPr>
        <w:t>)</w:t>
      </w:r>
    </w:p>
    <w:p w:rsidR="00443B9A" w:rsidRDefault="00443B9A" w:rsidP="00443B9A">
      <w:pPr>
        <w:spacing w:after="0" w:line="240" w:lineRule="auto"/>
        <w:rPr>
          <w:rFonts w:ascii="Verdana" w:hAnsi="Verdana"/>
          <w:sz w:val="20"/>
          <w:szCs w:val="20"/>
          <w:lang w:val="en-GB"/>
        </w:rPr>
      </w:pPr>
    </w:p>
    <w:p w:rsidR="00443B9A" w:rsidRDefault="00B3140D" w:rsidP="00443B9A">
      <w:pPr>
        <w:spacing w:after="0" w:line="240" w:lineRule="auto"/>
        <w:rPr>
          <w:rFonts w:ascii="Verdana" w:hAnsi="Verdana"/>
          <w:sz w:val="20"/>
          <w:szCs w:val="20"/>
          <w:lang w:val="en-GB"/>
        </w:rPr>
      </w:pPr>
      <w:r>
        <w:rPr>
          <w:rFonts w:ascii="Verdana" w:hAnsi="Verdana"/>
          <w:sz w:val="20"/>
          <w:szCs w:val="20"/>
          <w:lang w:val="en-GB"/>
        </w:rPr>
        <w:t xml:space="preserve">Shares not traded on </w:t>
      </w:r>
      <w:r w:rsidRPr="00EF3F29">
        <w:rPr>
          <w:rFonts w:ascii="Verdana" w:hAnsi="Verdana"/>
          <w:sz w:val="20"/>
          <w:szCs w:val="20"/>
          <w:lang w:val="en-GB"/>
        </w:rPr>
        <w:t>NASDAQ OMX Copenhagen</w:t>
      </w:r>
      <w:r>
        <w:rPr>
          <w:rFonts w:ascii="Verdana" w:hAnsi="Verdana"/>
          <w:sz w:val="20"/>
          <w:szCs w:val="20"/>
          <w:lang w:val="en-GB"/>
        </w:rPr>
        <w:t>: 367,211,706 shares</w:t>
      </w:r>
      <w:r w:rsidR="00443B9A">
        <w:rPr>
          <w:rFonts w:ascii="Verdana" w:hAnsi="Verdana"/>
          <w:sz w:val="20"/>
          <w:szCs w:val="20"/>
          <w:lang w:val="en-GB"/>
        </w:rPr>
        <w:t xml:space="preserve"> </w:t>
      </w:r>
    </w:p>
    <w:p w:rsidR="00443B9A" w:rsidRPr="00EF3F29" w:rsidRDefault="00443B9A" w:rsidP="00443B9A">
      <w:pPr>
        <w:rPr>
          <w:rFonts w:ascii="Verdana" w:hAnsi="Verdana"/>
          <w:sz w:val="20"/>
          <w:szCs w:val="20"/>
          <w:lang w:val="en-GB"/>
        </w:rPr>
      </w:pPr>
      <w:r>
        <w:rPr>
          <w:rFonts w:ascii="Verdana" w:hAnsi="Verdana"/>
          <w:sz w:val="20"/>
          <w:szCs w:val="20"/>
          <w:lang w:val="en-GB"/>
        </w:rPr>
        <w:t>(temporary s</w:t>
      </w:r>
      <w:r w:rsidRPr="00EF3F29">
        <w:rPr>
          <w:rFonts w:ascii="Verdana" w:hAnsi="Verdana"/>
          <w:sz w:val="20"/>
          <w:szCs w:val="20"/>
          <w:lang w:val="en-GB"/>
        </w:rPr>
        <w:t>ecurity ID code: DK006</w:t>
      </w:r>
      <w:r>
        <w:rPr>
          <w:rFonts w:ascii="Verdana" w:hAnsi="Verdana"/>
          <w:sz w:val="20"/>
          <w:szCs w:val="20"/>
          <w:lang w:val="en-GB"/>
        </w:rPr>
        <w:t>053505)</w:t>
      </w:r>
    </w:p>
    <w:p w:rsidR="00D23D11" w:rsidRPr="00EF3F29" w:rsidRDefault="00D23D11" w:rsidP="00443B9A">
      <w:pPr>
        <w:jc w:val="both"/>
        <w:rPr>
          <w:rFonts w:ascii="Verdana" w:hAnsi="Verdana"/>
          <w:sz w:val="20"/>
          <w:szCs w:val="20"/>
          <w:lang w:val="en-GB"/>
        </w:rPr>
      </w:pPr>
      <w:r w:rsidRPr="00EF3F29">
        <w:rPr>
          <w:rFonts w:ascii="Verdana" w:hAnsi="Verdana"/>
          <w:sz w:val="20"/>
          <w:szCs w:val="20"/>
          <w:lang w:val="en-GB"/>
        </w:rPr>
        <w:t>Share classes: One</w:t>
      </w:r>
    </w:p>
    <w:p w:rsidR="00D23D11" w:rsidRPr="00EF3F29" w:rsidRDefault="00D23D11" w:rsidP="00D23D11">
      <w:pPr>
        <w:jc w:val="both"/>
        <w:rPr>
          <w:rFonts w:ascii="Verdana" w:hAnsi="Verdana"/>
          <w:sz w:val="20"/>
          <w:szCs w:val="20"/>
          <w:lang w:val="en-GB"/>
        </w:rPr>
      </w:pPr>
      <w:r w:rsidRPr="00EF3F29">
        <w:rPr>
          <w:rFonts w:ascii="Verdana" w:hAnsi="Verdana"/>
          <w:sz w:val="20"/>
          <w:szCs w:val="20"/>
          <w:lang w:val="en-GB"/>
        </w:rPr>
        <w:t>Votes per share: One</w:t>
      </w:r>
    </w:p>
    <w:p w:rsidR="00D23D11" w:rsidRPr="00EF3F29" w:rsidRDefault="00D23D11" w:rsidP="00D23D11">
      <w:pPr>
        <w:jc w:val="both"/>
        <w:rPr>
          <w:rFonts w:ascii="Verdana" w:hAnsi="Verdana"/>
          <w:sz w:val="20"/>
          <w:szCs w:val="20"/>
          <w:lang w:val="en-GB"/>
        </w:rPr>
      </w:pPr>
      <w:r w:rsidRPr="00EF3F29">
        <w:rPr>
          <w:rFonts w:ascii="Verdana" w:hAnsi="Verdana"/>
          <w:sz w:val="20"/>
          <w:szCs w:val="20"/>
          <w:lang w:val="en-GB"/>
        </w:rPr>
        <w:t>Bearer share: Yes</w:t>
      </w:r>
    </w:p>
    <w:p w:rsidR="00D23D11" w:rsidRPr="00EF3F29" w:rsidRDefault="00D23D11" w:rsidP="00D23D11">
      <w:pPr>
        <w:jc w:val="both"/>
        <w:rPr>
          <w:rFonts w:ascii="Verdana" w:hAnsi="Verdana"/>
          <w:sz w:val="20"/>
          <w:szCs w:val="20"/>
          <w:lang w:val="en-GB"/>
        </w:rPr>
      </w:pPr>
      <w:r w:rsidRPr="00EF3F29">
        <w:rPr>
          <w:rFonts w:ascii="Verdana" w:hAnsi="Verdana"/>
          <w:sz w:val="20"/>
          <w:szCs w:val="20"/>
          <w:lang w:val="en-GB"/>
        </w:rPr>
        <w:t>Restriction on voting rights: No</w:t>
      </w:r>
    </w:p>
    <w:p w:rsidR="00D23D11" w:rsidRPr="00EF3F29" w:rsidRDefault="00D23D11" w:rsidP="00D23D11">
      <w:pPr>
        <w:jc w:val="both"/>
        <w:rPr>
          <w:rFonts w:ascii="Verdana" w:hAnsi="Verdana"/>
          <w:sz w:val="20"/>
          <w:szCs w:val="20"/>
          <w:lang w:val="en-GB"/>
        </w:rPr>
      </w:pPr>
      <w:r w:rsidRPr="00EF3F29">
        <w:rPr>
          <w:rFonts w:ascii="Verdana" w:hAnsi="Verdana"/>
          <w:sz w:val="20"/>
          <w:szCs w:val="20"/>
          <w:lang w:val="en-GB"/>
        </w:rPr>
        <w:t>Restricted negotiability: No</w:t>
      </w:r>
    </w:p>
    <w:p w:rsidR="00D23D11" w:rsidRDefault="00D23D11" w:rsidP="00D23D11">
      <w:pPr>
        <w:autoSpaceDE w:val="0"/>
        <w:autoSpaceDN w:val="0"/>
        <w:adjustRightInd w:val="0"/>
        <w:spacing w:after="0"/>
        <w:rPr>
          <w:rStyle w:val="Hyperlink"/>
          <w:rFonts w:ascii="Verdana" w:hAnsi="Verdana"/>
          <w:sz w:val="20"/>
          <w:szCs w:val="20"/>
          <w:lang w:val="en-GB"/>
        </w:rPr>
      </w:pPr>
      <w:r>
        <w:rPr>
          <w:rFonts w:ascii="Verdana" w:hAnsi="Verdana"/>
          <w:sz w:val="20"/>
          <w:szCs w:val="20"/>
          <w:lang w:val="en-GB"/>
        </w:rPr>
        <w:t xml:space="preserve">For further corporate information please see </w:t>
      </w:r>
      <w:hyperlink r:id="rId14" w:history="1">
        <w:r w:rsidRPr="00C159E7">
          <w:rPr>
            <w:rStyle w:val="Hyperlink"/>
            <w:rFonts w:ascii="Verdana" w:hAnsi="Verdana"/>
            <w:sz w:val="20"/>
            <w:szCs w:val="20"/>
            <w:lang w:val="en-GB"/>
          </w:rPr>
          <w:t>www.nordicshipholding.com</w:t>
        </w:r>
      </w:hyperlink>
    </w:p>
    <w:p w:rsidR="00302C5A" w:rsidRPr="00EF3F29" w:rsidRDefault="00302C5A" w:rsidP="00D23D11">
      <w:pPr>
        <w:autoSpaceDE w:val="0"/>
        <w:autoSpaceDN w:val="0"/>
        <w:adjustRightInd w:val="0"/>
        <w:spacing w:after="0"/>
        <w:rPr>
          <w:rFonts w:ascii="Verdana" w:hAnsi="Verdana" w:cs="Verdana"/>
          <w:color w:val="000000"/>
          <w:sz w:val="24"/>
          <w:szCs w:val="24"/>
          <w:lang w:val="en-GB"/>
        </w:rPr>
      </w:pPr>
    </w:p>
    <w:p w:rsidR="00D23D11" w:rsidRDefault="00D23D11" w:rsidP="00B12BBD">
      <w:pPr>
        <w:pStyle w:val="Subtitle"/>
        <w:spacing w:after="0" w:line="240" w:lineRule="auto"/>
        <w:jc w:val="both"/>
        <w:rPr>
          <w:rFonts w:ascii="Verdana" w:eastAsiaTheme="minorHAnsi" w:hAnsi="Verdana" w:cs="Frutiger-Bold"/>
          <w:b/>
          <w:bCs/>
          <w:i w:val="0"/>
          <w:iCs w:val="0"/>
          <w:color w:val="auto"/>
          <w:spacing w:val="0"/>
          <w:sz w:val="20"/>
          <w:szCs w:val="20"/>
          <w:lang w:val="en-GB"/>
        </w:rPr>
      </w:pPr>
      <w:r w:rsidRPr="00013AE8">
        <w:rPr>
          <w:rFonts w:ascii="Verdana" w:eastAsiaTheme="minorHAnsi" w:hAnsi="Verdana" w:cs="Frutiger-Bold"/>
          <w:b/>
          <w:bCs/>
          <w:i w:val="0"/>
          <w:iCs w:val="0"/>
          <w:color w:val="auto"/>
          <w:spacing w:val="0"/>
          <w:sz w:val="20"/>
          <w:szCs w:val="20"/>
          <w:lang w:val="en-GB"/>
        </w:rPr>
        <w:t>Movements in the Company’s</w:t>
      </w:r>
      <w:r w:rsidR="000566B2">
        <w:rPr>
          <w:rFonts w:ascii="Verdana" w:eastAsiaTheme="minorHAnsi" w:hAnsi="Verdana" w:cs="Frutiger-Bold"/>
          <w:b/>
          <w:bCs/>
          <w:i w:val="0"/>
          <w:iCs w:val="0"/>
          <w:color w:val="auto"/>
          <w:spacing w:val="0"/>
          <w:sz w:val="20"/>
          <w:szCs w:val="20"/>
          <w:lang w:val="en-GB"/>
        </w:rPr>
        <w:t xml:space="preserve"> share price at 31 December 2013</w:t>
      </w:r>
      <w:r w:rsidRPr="00013AE8">
        <w:rPr>
          <w:rFonts w:ascii="Verdana" w:eastAsiaTheme="minorHAnsi" w:hAnsi="Verdana" w:cs="Frutiger-Bold"/>
          <w:b/>
          <w:bCs/>
          <w:i w:val="0"/>
          <w:iCs w:val="0"/>
          <w:color w:val="auto"/>
          <w:spacing w:val="0"/>
          <w:sz w:val="20"/>
          <w:szCs w:val="20"/>
          <w:lang w:val="en-GB"/>
        </w:rPr>
        <w:t xml:space="preserve"> </w:t>
      </w:r>
    </w:p>
    <w:p w:rsidR="00B12BBD" w:rsidRPr="00B12BBD" w:rsidRDefault="00B12BBD" w:rsidP="00B12BBD">
      <w:pPr>
        <w:spacing w:after="0" w:line="240" w:lineRule="auto"/>
        <w:rPr>
          <w:lang w:val="en-GB" w:eastAsia="da-DK"/>
        </w:rPr>
      </w:pPr>
    </w:p>
    <w:p w:rsidR="00302C5A" w:rsidRPr="00EF3F29" w:rsidRDefault="00302C5A" w:rsidP="00B12BBD">
      <w:pPr>
        <w:spacing w:after="0" w:line="240" w:lineRule="auto"/>
        <w:rPr>
          <w:rFonts w:ascii="Verdana" w:hAnsi="Verdana"/>
          <w:color w:val="FF0000"/>
          <w:sz w:val="20"/>
          <w:szCs w:val="20"/>
          <w:lang w:val="en-GB"/>
        </w:rPr>
      </w:pPr>
      <w:r w:rsidRPr="00EF3F29">
        <w:rPr>
          <w:rFonts w:ascii="Verdana" w:eastAsia="Times New Roman" w:hAnsi="Verdana" w:cs="Times New Roman"/>
          <w:sz w:val="20"/>
          <w:szCs w:val="20"/>
          <w:lang w:val="en-GB"/>
        </w:rPr>
        <w:t>The closing price at year-end 201</w:t>
      </w:r>
      <w:r>
        <w:rPr>
          <w:rFonts w:ascii="Verdana" w:eastAsia="Times New Roman" w:hAnsi="Verdana" w:cs="Times New Roman"/>
          <w:sz w:val="20"/>
          <w:szCs w:val="20"/>
          <w:lang w:val="en-GB"/>
        </w:rPr>
        <w:t>3</w:t>
      </w:r>
      <w:r w:rsidRPr="00EF3F29">
        <w:rPr>
          <w:rFonts w:ascii="Verdana" w:eastAsia="Times New Roman" w:hAnsi="Verdana" w:cs="Times New Roman"/>
          <w:sz w:val="20"/>
          <w:szCs w:val="20"/>
          <w:lang w:val="en-GB"/>
        </w:rPr>
        <w:t xml:space="preserve"> was DKK </w:t>
      </w:r>
      <w:r>
        <w:rPr>
          <w:rFonts w:ascii="Verdana" w:eastAsia="Times New Roman" w:hAnsi="Verdana" w:cs="Times New Roman"/>
          <w:sz w:val="20"/>
          <w:szCs w:val="20"/>
          <w:lang w:val="en-GB"/>
        </w:rPr>
        <w:t>0</w:t>
      </w:r>
      <w:r w:rsidRPr="00EF3F29">
        <w:rPr>
          <w:rFonts w:ascii="Verdana" w:eastAsia="Times New Roman" w:hAnsi="Verdana" w:cs="Times New Roman"/>
          <w:sz w:val="20"/>
          <w:szCs w:val="20"/>
          <w:lang w:val="en-GB"/>
        </w:rPr>
        <w:t>.</w:t>
      </w:r>
      <w:r>
        <w:rPr>
          <w:rFonts w:ascii="Verdana" w:eastAsia="Times New Roman" w:hAnsi="Verdana" w:cs="Times New Roman"/>
          <w:sz w:val="20"/>
          <w:szCs w:val="20"/>
          <w:lang w:val="en-GB"/>
        </w:rPr>
        <w:t>72</w:t>
      </w:r>
      <w:r w:rsidRPr="00EF3F29">
        <w:rPr>
          <w:rFonts w:ascii="Verdana" w:eastAsia="Times New Roman" w:hAnsi="Verdana" w:cs="Times New Roman"/>
          <w:sz w:val="20"/>
          <w:szCs w:val="20"/>
          <w:lang w:val="en-GB"/>
        </w:rPr>
        <w:t>, a</w:t>
      </w:r>
      <w:r>
        <w:rPr>
          <w:rFonts w:ascii="Verdana" w:eastAsia="Times New Roman" w:hAnsi="Verdana" w:cs="Times New Roman"/>
          <w:sz w:val="20"/>
          <w:szCs w:val="20"/>
          <w:lang w:val="en-GB"/>
        </w:rPr>
        <w:t>n in</w:t>
      </w:r>
      <w:r w:rsidRPr="00EF3F29">
        <w:rPr>
          <w:rFonts w:ascii="Verdana" w:eastAsia="Times New Roman" w:hAnsi="Verdana" w:cs="Times New Roman"/>
          <w:sz w:val="20"/>
          <w:szCs w:val="20"/>
          <w:lang w:val="en-GB"/>
        </w:rPr>
        <w:t xml:space="preserve">crease of </w:t>
      </w:r>
      <w:r>
        <w:rPr>
          <w:rFonts w:ascii="Verdana" w:eastAsia="Times New Roman" w:hAnsi="Verdana" w:cs="Times New Roman"/>
          <w:sz w:val="20"/>
          <w:szCs w:val="20"/>
          <w:lang w:val="en-GB"/>
        </w:rPr>
        <w:t>36</w:t>
      </w:r>
      <w:r w:rsidRPr="00EF3F29">
        <w:rPr>
          <w:rFonts w:ascii="Verdana" w:eastAsia="Times New Roman" w:hAnsi="Verdana" w:cs="Times New Roman"/>
          <w:sz w:val="20"/>
          <w:szCs w:val="20"/>
          <w:lang w:val="en-GB"/>
        </w:rPr>
        <w:t>% compared with year-end 201</w:t>
      </w:r>
      <w:r>
        <w:rPr>
          <w:rFonts w:ascii="Verdana" w:eastAsia="Times New Roman" w:hAnsi="Verdana" w:cs="Times New Roman"/>
          <w:sz w:val="20"/>
          <w:szCs w:val="20"/>
          <w:lang w:val="en-GB"/>
        </w:rPr>
        <w:t>2</w:t>
      </w:r>
      <w:r w:rsidRPr="00EF3F29">
        <w:rPr>
          <w:rFonts w:ascii="Verdana" w:eastAsia="Times New Roman" w:hAnsi="Verdana" w:cs="Times New Roman"/>
          <w:sz w:val="20"/>
          <w:szCs w:val="20"/>
          <w:lang w:val="en-GB"/>
        </w:rPr>
        <w:t xml:space="preserve"> (DKK </w:t>
      </w:r>
      <w:r>
        <w:rPr>
          <w:rFonts w:ascii="Verdana" w:eastAsia="Times New Roman" w:hAnsi="Verdana" w:cs="Times New Roman"/>
          <w:sz w:val="20"/>
          <w:szCs w:val="20"/>
          <w:lang w:val="en-GB"/>
        </w:rPr>
        <w:t>0.53</w:t>
      </w:r>
      <w:r w:rsidRPr="00EF3F29">
        <w:rPr>
          <w:rFonts w:ascii="Verdana" w:eastAsia="Times New Roman" w:hAnsi="Verdana" w:cs="Times New Roman"/>
          <w:sz w:val="20"/>
          <w:szCs w:val="20"/>
          <w:lang w:val="en-GB"/>
        </w:rPr>
        <w:t xml:space="preserve">). </w:t>
      </w:r>
    </w:p>
    <w:p w:rsidR="00302C5A" w:rsidRPr="00302C5A" w:rsidRDefault="00302C5A" w:rsidP="00302C5A">
      <w:pPr>
        <w:rPr>
          <w:lang w:val="en-GB" w:eastAsia="da-DK"/>
        </w:rPr>
      </w:pPr>
      <w:r>
        <w:t xml:space="preserve">                  </w:t>
      </w:r>
      <w:r w:rsidRPr="00302C5A">
        <w:rPr>
          <w:noProof/>
          <w:lang w:val="da-DK" w:eastAsia="da-DK"/>
        </w:rPr>
        <w:drawing>
          <wp:inline distT="0" distB="0" distL="0" distR="0" wp14:anchorId="7FD66412" wp14:editId="5EC9FA14">
            <wp:extent cx="5031702" cy="294933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900" cy="2959416"/>
                    </a:xfrm>
                    <a:prstGeom prst="rect">
                      <a:avLst/>
                    </a:prstGeom>
                    <a:noFill/>
                    <a:ln>
                      <a:noFill/>
                    </a:ln>
                  </pic:spPr>
                </pic:pic>
              </a:graphicData>
            </a:graphic>
          </wp:inline>
        </w:drawing>
      </w:r>
    </w:p>
    <w:p w:rsidR="00261052" w:rsidRDefault="00261052" w:rsidP="00D133B5">
      <w:pPr>
        <w:pStyle w:val="Subtitle"/>
        <w:spacing w:before="360" w:after="0"/>
        <w:jc w:val="both"/>
        <w:rPr>
          <w:rFonts w:ascii="Verdana" w:eastAsiaTheme="minorHAnsi" w:hAnsi="Verdana" w:cs="Frutiger-Bold"/>
          <w:b/>
          <w:bCs/>
          <w:i w:val="0"/>
          <w:iCs w:val="0"/>
          <w:color w:val="auto"/>
          <w:spacing w:val="0"/>
          <w:sz w:val="20"/>
          <w:szCs w:val="20"/>
          <w:lang w:val="en-GB"/>
        </w:rPr>
      </w:pPr>
    </w:p>
    <w:p w:rsidR="00D23D11" w:rsidRPr="00D133B5" w:rsidRDefault="00D23D11" w:rsidP="00D133B5">
      <w:pPr>
        <w:pStyle w:val="Subtitle"/>
        <w:spacing w:before="360" w:after="0"/>
        <w:jc w:val="both"/>
        <w:rPr>
          <w:rFonts w:ascii="Verdana" w:eastAsiaTheme="minorHAnsi" w:hAnsi="Verdana" w:cs="Frutiger-Bold"/>
          <w:b/>
          <w:bCs/>
          <w:i w:val="0"/>
          <w:iCs w:val="0"/>
          <w:color w:val="auto"/>
          <w:spacing w:val="0"/>
          <w:sz w:val="20"/>
          <w:szCs w:val="20"/>
          <w:lang w:val="en-GB"/>
        </w:rPr>
      </w:pPr>
      <w:r w:rsidRPr="00013AE8">
        <w:rPr>
          <w:rFonts w:ascii="Verdana" w:eastAsiaTheme="minorHAnsi" w:hAnsi="Verdana" w:cs="Frutiger-Bold"/>
          <w:b/>
          <w:bCs/>
          <w:i w:val="0"/>
          <w:iCs w:val="0"/>
          <w:color w:val="auto"/>
          <w:spacing w:val="0"/>
          <w:sz w:val="20"/>
          <w:szCs w:val="20"/>
          <w:lang w:val="en-GB"/>
        </w:rPr>
        <w:lastRenderedPageBreak/>
        <w:t xml:space="preserve">Shareholder structure </w:t>
      </w:r>
    </w:p>
    <w:p w:rsidR="00D23D11" w:rsidRPr="00EF3F29" w:rsidRDefault="00D23D11" w:rsidP="00D133B5">
      <w:pPr>
        <w:jc w:val="both"/>
        <w:rPr>
          <w:rFonts w:ascii="Times New Roman" w:eastAsia="Times New Roman" w:hAnsi="Times New Roman" w:cs="Times New Roman"/>
          <w:sz w:val="24"/>
          <w:szCs w:val="24"/>
          <w:lang w:val="en-GB"/>
        </w:rPr>
      </w:pPr>
      <w:r w:rsidRPr="00EF3F29">
        <w:rPr>
          <w:rFonts w:ascii="Verdana" w:eastAsia="Times New Roman" w:hAnsi="Verdana" w:cs="Times New Roman"/>
          <w:sz w:val="20"/>
          <w:szCs w:val="20"/>
          <w:lang w:val="en-GB"/>
        </w:rPr>
        <w:t>At 31 December 201</w:t>
      </w:r>
      <w:r w:rsidR="00BF0C21">
        <w:rPr>
          <w:rFonts w:ascii="Verdana" w:eastAsia="Times New Roman" w:hAnsi="Verdana" w:cs="Times New Roman"/>
          <w:sz w:val="20"/>
          <w:szCs w:val="20"/>
          <w:lang w:val="en-GB"/>
        </w:rPr>
        <w:t>3</w:t>
      </w:r>
      <w:r w:rsidRPr="00EF3F29">
        <w:rPr>
          <w:rFonts w:ascii="Verdana" w:eastAsia="Times New Roman" w:hAnsi="Verdana" w:cs="Times New Roman"/>
          <w:sz w:val="20"/>
          <w:szCs w:val="20"/>
          <w:lang w:val="en-GB"/>
        </w:rPr>
        <w:t xml:space="preserve"> </w:t>
      </w:r>
      <w:r>
        <w:rPr>
          <w:rFonts w:ascii="Verdana" w:eastAsia="Times New Roman" w:hAnsi="Verdana" w:cs="Times New Roman"/>
          <w:sz w:val="20"/>
          <w:szCs w:val="20"/>
          <w:lang w:val="en-GB"/>
        </w:rPr>
        <w:t xml:space="preserve">Nordic Shipholding </w:t>
      </w:r>
      <w:r w:rsidRPr="00EF3F29">
        <w:rPr>
          <w:rFonts w:ascii="Verdana" w:eastAsia="Times New Roman" w:hAnsi="Verdana" w:cs="Times New Roman"/>
          <w:sz w:val="20"/>
          <w:szCs w:val="20"/>
          <w:lang w:val="en-GB"/>
        </w:rPr>
        <w:t xml:space="preserve">had </w:t>
      </w:r>
      <w:r w:rsidR="003F5073" w:rsidRPr="003F5073">
        <w:rPr>
          <w:rFonts w:ascii="Verdana" w:eastAsia="Times New Roman" w:hAnsi="Verdana" w:cs="Times New Roman"/>
          <w:sz w:val="20"/>
          <w:szCs w:val="20"/>
          <w:lang w:val="en-GB"/>
        </w:rPr>
        <w:t>5,157</w:t>
      </w:r>
      <w:r w:rsidRPr="003F5073">
        <w:rPr>
          <w:rFonts w:ascii="Verdana" w:eastAsia="Times New Roman" w:hAnsi="Verdana" w:cs="Times New Roman"/>
          <w:sz w:val="20"/>
          <w:szCs w:val="20"/>
          <w:lang w:val="en-GB"/>
        </w:rPr>
        <w:t xml:space="preserve"> registered shareholders</w:t>
      </w:r>
      <w:r w:rsidR="002E2CA7">
        <w:rPr>
          <w:rFonts w:ascii="Verdana" w:eastAsia="Times New Roman" w:hAnsi="Verdana" w:cs="Times New Roman"/>
          <w:sz w:val="20"/>
          <w:szCs w:val="20"/>
          <w:lang w:val="en-GB"/>
        </w:rPr>
        <w:t xml:space="preserve">. </w:t>
      </w:r>
    </w:p>
    <w:p w:rsidR="00D23D11" w:rsidRPr="00EF3F29" w:rsidRDefault="00D23D11" w:rsidP="00D133B5">
      <w:pPr>
        <w:jc w:val="both"/>
        <w:rPr>
          <w:rFonts w:ascii="Verdana" w:eastAsia="Times New Roman" w:hAnsi="Verdana" w:cs="Times New Roman"/>
          <w:sz w:val="20"/>
          <w:szCs w:val="20"/>
          <w:lang w:val="en-GB"/>
        </w:rPr>
      </w:pPr>
      <w:r w:rsidRPr="00EF3F29">
        <w:rPr>
          <w:rFonts w:ascii="Verdana" w:eastAsia="Times New Roman" w:hAnsi="Verdana" w:cs="Times New Roman"/>
          <w:sz w:val="20"/>
          <w:szCs w:val="20"/>
          <w:lang w:val="en-GB"/>
        </w:rPr>
        <w:t>On 31 December 201</w:t>
      </w:r>
      <w:r w:rsidR="00BF0C21">
        <w:rPr>
          <w:rFonts w:ascii="Verdana" w:eastAsia="Times New Roman" w:hAnsi="Verdana" w:cs="Times New Roman"/>
          <w:sz w:val="20"/>
          <w:szCs w:val="20"/>
          <w:lang w:val="en-GB"/>
        </w:rPr>
        <w:t>3 the following shareholders</w:t>
      </w:r>
      <w:r w:rsidRPr="00EF3F29">
        <w:rPr>
          <w:rFonts w:ascii="Verdana" w:eastAsia="Times New Roman" w:hAnsi="Verdana" w:cs="Times New Roman"/>
          <w:sz w:val="20"/>
          <w:szCs w:val="20"/>
          <w:lang w:val="en-GB"/>
        </w:rPr>
        <w:t xml:space="preserve"> held more than</w:t>
      </w:r>
      <w:r w:rsidR="00BF0C21">
        <w:rPr>
          <w:rFonts w:ascii="Verdana" w:eastAsia="Times New Roman" w:hAnsi="Verdana" w:cs="Times New Roman"/>
          <w:sz w:val="20"/>
          <w:szCs w:val="20"/>
          <w:lang w:val="en-GB"/>
        </w:rPr>
        <w:t xml:space="preserve"> </w:t>
      </w:r>
      <w:r w:rsidR="00BF0C21" w:rsidRPr="00302C5A">
        <w:rPr>
          <w:rFonts w:ascii="Verdana" w:eastAsia="Times New Roman" w:hAnsi="Verdana" w:cs="Times New Roman"/>
          <w:sz w:val="20"/>
          <w:szCs w:val="20"/>
          <w:lang w:val="en-GB"/>
        </w:rPr>
        <w:t>or equal to</w:t>
      </w:r>
      <w:r w:rsidRPr="00EF3F29">
        <w:rPr>
          <w:rFonts w:ascii="Verdana" w:eastAsia="Times New Roman" w:hAnsi="Verdana" w:cs="Times New Roman"/>
          <w:sz w:val="20"/>
          <w:szCs w:val="20"/>
          <w:lang w:val="en-GB"/>
        </w:rPr>
        <w:t xml:space="preserve"> 5% of the share capital and voting rights:</w:t>
      </w:r>
      <w:r w:rsidRPr="00EF3F29">
        <w:rPr>
          <w:rFonts w:ascii="Times New Roman" w:eastAsia="Times New Roman" w:hAnsi="Times New Roman" w:cs="Times New Roman"/>
          <w:sz w:val="24"/>
          <w:szCs w:val="24"/>
          <w:lang w:val="en-GB"/>
        </w:rPr>
        <w:t xml:space="preserve"> </w:t>
      </w:r>
    </w:p>
    <w:p w:rsidR="00BF0C21" w:rsidRPr="00302C5A" w:rsidRDefault="00BF0C21" w:rsidP="00B3140D">
      <w:pPr>
        <w:pStyle w:val="ListParagraph"/>
        <w:numPr>
          <w:ilvl w:val="0"/>
          <w:numId w:val="8"/>
        </w:numPr>
        <w:spacing w:after="200" w:line="276" w:lineRule="auto"/>
        <w:jc w:val="both"/>
        <w:rPr>
          <w:rFonts w:ascii="Verdana" w:eastAsia="Times New Roman" w:hAnsi="Verdana" w:cs="Times New Roman"/>
          <w:sz w:val="20"/>
          <w:szCs w:val="20"/>
        </w:rPr>
      </w:pPr>
      <w:r w:rsidRPr="00BF0C21">
        <w:rPr>
          <w:rFonts w:ascii="Verdana" w:hAnsi="Verdana" w:cs="Arial"/>
          <w:sz w:val="20"/>
          <w:szCs w:val="20"/>
          <w:lang w:val="en"/>
        </w:rPr>
        <w:t>Nordic Maritime S.</w:t>
      </w:r>
      <w:r w:rsidRPr="00302C5A">
        <w:rPr>
          <w:rFonts w:ascii="Verdana" w:hAnsi="Verdana" w:cs="Arial"/>
          <w:sz w:val="20"/>
          <w:szCs w:val="20"/>
          <w:lang w:val="en"/>
        </w:rPr>
        <w:t>à r.l.</w:t>
      </w:r>
      <w:r w:rsidR="00302C5A" w:rsidRPr="00302C5A">
        <w:rPr>
          <w:rFonts w:ascii="Verdana" w:hAnsi="Verdana" w:cs="Arial"/>
          <w:sz w:val="20"/>
          <w:szCs w:val="20"/>
          <w:lang w:val="en"/>
        </w:rPr>
        <w:t xml:space="preserve">, </w:t>
      </w:r>
      <w:r w:rsidR="00B3140D" w:rsidRPr="00302C5A">
        <w:rPr>
          <w:rFonts w:ascii="Verdana" w:hAnsi="Verdana" w:cs="Arial"/>
          <w:sz w:val="20"/>
          <w:szCs w:val="20"/>
          <w:lang w:val="en"/>
        </w:rPr>
        <w:t>Luxemburg</w:t>
      </w:r>
      <w:r w:rsidRPr="00302C5A">
        <w:rPr>
          <w:rFonts w:ascii="Verdana" w:eastAsia="Times New Roman" w:hAnsi="Verdana" w:cs="Times New Roman"/>
          <w:sz w:val="20"/>
          <w:szCs w:val="20"/>
        </w:rPr>
        <w:t>- repor</w:t>
      </w:r>
      <w:r w:rsidR="00637497" w:rsidRPr="00302C5A">
        <w:rPr>
          <w:rFonts w:ascii="Verdana" w:eastAsia="Times New Roman" w:hAnsi="Verdana" w:cs="Times New Roman"/>
          <w:sz w:val="20"/>
          <w:szCs w:val="20"/>
        </w:rPr>
        <w:t>ted on 19 December 2013 – 76</w:t>
      </w:r>
      <w:r w:rsidRPr="00302C5A">
        <w:rPr>
          <w:rFonts w:ascii="Verdana" w:eastAsia="Times New Roman" w:hAnsi="Verdana" w:cs="Times New Roman"/>
          <w:sz w:val="20"/>
          <w:szCs w:val="20"/>
        </w:rPr>
        <w:t>.03%</w:t>
      </w:r>
    </w:p>
    <w:p w:rsidR="00BF0C21" w:rsidRPr="00302C5A" w:rsidRDefault="00BF0C21" w:rsidP="00D133B5">
      <w:pPr>
        <w:pStyle w:val="ListParagraph"/>
        <w:numPr>
          <w:ilvl w:val="0"/>
          <w:numId w:val="8"/>
        </w:numPr>
        <w:spacing w:after="200" w:line="276" w:lineRule="auto"/>
        <w:jc w:val="both"/>
        <w:rPr>
          <w:rFonts w:ascii="Verdana" w:eastAsia="Times New Roman" w:hAnsi="Verdana" w:cs="Times New Roman"/>
          <w:sz w:val="20"/>
          <w:szCs w:val="20"/>
        </w:rPr>
      </w:pPr>
      <w:r w:rsidRPr="00302C5A">
        <w:rPr>
          <w:rFonts w:ascii="Verdana" w:eastAsia="Times New Roman" w:hAnsi="Verdana" w:cs="Times New Roman"/>
          <w:sz w:val="20"/>
          <w:szCs w:val="20"/>
        </w:rPr>
        <w:t>N</w:t>
      </w:r>
      <w:r w:rsidR="00B3140D" w:rsidRPr="00302C5A">
        <w:rPr>
          <w:rFonts w:ascii="Verdana" w:eastAsia="Times New Roman" w:hAnsi="Verdana" w:cs="Times New Roman"/>
          <w:sz w:val="20"/>
          <w:szCs w:val="20"/>
        </w:rPr>
        <w:t>ordea Bank Danmark A/S, Denmark</w:t>
      </w:r>
      <w:r w:rsidRPr="00302C5A">
        <w:rPr>
          <w:rFonts w:ascii="Verdana" w:eastAsia="Times New Roman" w:hAnsi="Verdana" w:cs="Times New Roman"/>
          <w:sz w:val="20"/>
          <w:szCs w:val="20"/>
        </w:rPr>
        <w:t>- reported on 19 December 2013 – 11.03%</w:t>
      </w:r>
    </w:p>
    <w:p w:rsidR="00D23D11" w:rsidRPr="003874B8" w:rsidRDefault="00D23D11" w:rsidP="00D133B5">
      <w:pPr>
        <w:pStyle w:val="Subtitle"/>
        <w:spacing w:before="360" w:after="0"/>
        <w:jc w:val="both"/>
        <w:rPr>
          <w:rFonts w:ascii="Verdana" w:eastAsiaTheme="minorHAnsi" w:hAnsi="Verdana" w:cs="Frutiger-Bold"/>
          <w:b/>
          <w:bCs/>
          <w:i w:val="0"/>
          <w:iCs w:val="0"/>
          <w:color w:val="auto"/>
          <w:spacing w:val="0"/>
          <w:sz w:val="20"/>
          <w:szCs w:val="20"/>
          <w:lang w:val="en-GB"/>
        </w:rPr>
      </w:pPr>
      <w:r w:rsidRPr="003874B8">
        <w:rPr>
          <w:rFonts w:ascii="Verdana" w:eastAsiaTheme="minorHAnsi" w:hAnsi="Verdana" w:cs="Frutiger-Bold"/>
          <w:b/>
          <w:bCs/>
          <w:i w:val="0"/>
          <w:iCs w:val="0"/>
          <w:color w:val="auto"/>
          <w:spacing w:val="0"/>
          <w:sz w:val="20"/>
          <w:szCs w:val="20"/>
          <w:lang w:val="en-GB"/>
        </w:rPr>
        <w:t xml:space="preserve">Treasury shares </w:t>
      </w:r>
    </w:p>
    <w:p w:rsidR="00D23D11" w:rsidRPr="003874B8" w:rsidRDefault="00B90B28" w:rsidP="00D133B5">
      <w:pPr>
        <w:jc w:val="both"/>
        <w:rPr>
          <w:rFonts w:ascii="Verdana" w:eastAsia="Times New Roman" w:hAnsi="Verdana" w:cs="Times New Roman"/>
          <w:sz w:val="20"/>
          <w:szCs w:val="20"/>
          <w:lang w:val="en-GB"/>
        </w:rPr>
      </w:pPr>
      <w:r>
        <w:rPr>
          <w:rFonts w:ascii="Verdana" w:eastAsia="Times New Roman" w:hAnsi="Verdana" w:cs="Times New Roman"/>
          <w:sz w:val="20"/>
          <w:szCs w:val="20"/>
          <w:lang w:val="en-GB"/>
        </w:rPr>
        <w:t>At year-end 2013</w:t>
      </w:r>
      <w:r w:rsidR="00D23D11" w:rsidRPr="003874B8">
        <w:rPr>
          <w:rFonts w:ascii="Verdana" w:eastAsia="Times New Roman" w:hAnsi="Verdana" w:cs="Times New Roman"/>
          <w:sz w:val="20"/>
          <w:szCs w:val="20"/>
          <w:lang w:val="en-GB"/>
        </w:rPr>
        <w:t xml:space="preserve"> </w:t>
      </w:r>
      <w:r w:rsidR="00C30F07">
        <w:rPr>
          <w:rFonts w:ascii="Verdana" w:eastAsia="Times New Roman" w:hAnsi="Verdana" w:cs="Times New Roman"/>
          <w:sz w:val="20"/>
          <w:szCs w:val="20"/>
          <w:lang w:val="en-GB"/>
        </w:rPr>
        <w:t>Nordic Shipholding</w:t>
      </w:r>
      <w:r w:rsidR="003F18FC">
        <w:rPr>
          <w:rFonts w:ascii="Verdana" w:eastAsia="Times New Roman" w:hAnsi="Verdana" w:cs="Times New Roman"/>
          <w:sz w:val="20"/>
          <w:szCs w:val="20"/>
          <w:lang w:val="en-GB"/>
        </w:rPr>
        <w:t xml:space="preserve"> held nominally DKK</w:t>
      </w:r>
      <w:r w:rsidR="00D8216D">
        <w:rPr>
          <w:rFonts w:ascii="Verdana" w:eastAsia="Times New Roman" w:hAnsi="Verdana" w:cs="Times New Roman"/>
          <w:sz w:val="20"/>
          <w:szCs w:val="20"/>
          <w:lang w:val="en-GB"/>
        </w:rPr>
        <w:t xml:space="preserve"> </w:t>
      </w:r>
      <w:r w:rsidR="003F18FC">
        <w:rPr>
          <w:rFonts w:ascii="Verdana" w:eastAsia="Times New Roman" w:hAnsi="Verdana" w:cs="Times New Roman"/>
          <w:sz w:val="20"/>
          <w:szCs w:val="20"/>
          <w:lang w:val="en-GB"/>
        </w:rPr>
        <w:t>5,070</w:t>
      </w:r>
      <w:r w:rsidR="00D23D11" w:rsidRPr="003874B8">
        <w:rPr>
          <w:rFonts w:ascii="Verdana" w:eastAsia="Times New Roman" w:hAnsi="Verdana" w:cs="Times New Roman"/>
          <w:sz w:val="20"/>
          <w:szCs w:val="20"/>
          <w:lang w:val="en-GB"/>
        </w:rPr>
        <w:t xml:space="preserve"> treasu</w:t>
      </w:r>
      <w:r w:rsidR="003F18FC">
        <w:rPr>
          <w:rFonts w:ascii="Verdana" w:eastAsia="Times New Roman" w:hAnsi="Verdana" w:cs="Times New Roman"/>
          <w:sz w:val="20"/>
          <w:szCs w:val="20"/>
          <w:lang w:val="en-GB"/>
        </w:rPr>
        <w:t>ry shares, corresponding to 50,70</w:t>
      </w:r>
      <w:r w:rsidR="00D23D11" w:rsidRPr="003874B8">
        <w:rPr>
          <w:rFonts w:ascii="Verdana" w:eastAsia="Times New Roman" w:hAnsi="Verdana" w:cs="Times New Roman"/>
          <w:sz w:val="20"/>
          <w:szCs w:val="20"/>
          <w:lang w:val="en-GB"/>
        </w:rPr>
        <w:t xml:space="preserve">0 shares. The acquisition hereof was part of the preparations for the IPO, and the Company has not acquired treasury shares since its listing in 2007. </w:t>
      </w:r>
    </w:p>
    <w:p w:rsidR="00D23D11" w:rsidRPr="00EF3F29" w:rsidRDefault="00D23D11" w:rsidP="00D133B5">
      <w:pPr>
        <w:pStyle w:val="Subtitle"/>
        <w:spacing w:before="360" w:after="0"/>
        <w:jc w:val="both"/>
        <w:rPr>
          <w:rFonts w:ascii="Verdana" w:eastAsiaTheme="minorHAnsi" w:hAnsi="Verdana" w:cs="Frutiger-Bold"/>
          <w:b/>
          <w:bCs/>
          <w:i w:val="0"/>
          <w:iCs w:val="0"/>
          <w:color w:val="auto"/>
          <w:spacing w:val="0"/>
          <w:sz w:val="20"/>
          <w:szCs w:val="20"/>
          <w:lang w:val="en-GB"/>
        </w:rPr>
      </w:pPr>
      <w:r w:rsidRPr="00EF3F29">
        <w:rPr>
          <w:rFonts w:ascii="Verdana" w:eastAsiaTheme="minorHAnsi" w:hAnsi="Verdana" w:cs="Frutiger-Bold"/>
          <w:b/>
          <w:bCs/>
          <w:i w:val="0"/>
          <w:iCs w:val="0"/>
          <w:color w:val="auto"/>
          <w:spacing w:val="0"/>
          <w:sz w:val="20"/>
          <w:szCs w:val="20"/>
          <w:lang w:val="en-GB"/>
        </w:rPr>
        <w:t>Dividend policy</w:t>
      </w:r>
    </w:p>
    <w:p w:rsidR="00D23D11" w:rsidRPr="00D133B5" w:rsidRDefault="00D23D11" w:rsidP="00D133B5">
      <w:pPr>
        <w:jc w:val="both"/>
        <w:rPr>
          <w:rFonts w:ascii="Verdana" w:eastAsia="Times New Roman" w:hAnsi="Verdana" w:cs="Times New Roman"/>
          <w:sz w:val="20"/>
          <w:szCs w:val="20"/>
          <w:lang w:val="en-GB"/>
        </w:rPr>
      </w:pPr>
      <w:r w:rsidRPr="00D133B5">
        <w:rPr>
          <w:rFonts w:ascii="Verdana" w:eastAsia="Times New Roman" w:hAnsi="Verdana" w:cs="Times New Roman"/>
          <w:sz w:val="20"/>
          <w:szCs w:val="20"/>
          <w:lang w:val="en-GB"/>
        </w:rPr>
        <w:t>No dividend will be distributed for the financial year 201</w:t>
      </w:r>
      <w:r w:rsidR="00B90B28">
        <w:rPr>
          <w:rFonts w:ascii="Verdana" w:eastAsia="Times New Roman" w:hAnsi="Verdana" w:cs="Times New Roman"/>
          <w:sz w:val="20"/>
          <w:szCs w:val="20"/>
          <w:lang w:val="en-GB"/>
        </w:rPr>
        <w:t>3</w:t>
      </w:r>
      <w:r w:rsidRPr="00D133B5">
        <w:rPr>
          <w:rFonts w:ascii="Verdana" w:eastAsia="Times New Roman" w:hAnsi="Verdana" w:cs="Times New Roman"/>
          <w:sz w:val="20"/>
          <w:szCs w:val="20"/>
          <w:lang w:val="en-GB"/>
        </w:rPr>
        <w:t xml:space="preserve">, </w:t>
      </w:r>
      <w:r w:rsidRPr="00302C5A">
        <w:rPr>
          <w:rFonts w:ascii="Verdana" w:eastAsia="Times New Roman" w:hAnsi="Verdana" w:cs="Times New Roman"/>
          <w:sz w:val="20"/>
          <w:szCs w:val="20"/>
          <w:lang w:val="en-GB"/>
        </w:rPr>
        <w:t xml:space="preserve">and </w:t>
      </w:r>
      <w:r w:rsidR="00C30F07" w:rsidRPr="00302C5A">
        <w:rPr>
          <w:rFonts w:ascii="Verdana" w:eastAsia="Times New Roman" w:hAnsi="Verdana" w:cs="Times New Roman"/>
          <w:sz w:val="20"/>
          <w:szCs w:val="20"/>
          <w:lang w:val="en-GB"/>
        </w:rPr>
        <w:t>Nordic Shipholding</w:t>
      </w:r>
      <w:r w:rsidRPr="00302C5A">
        <w:rPr>
          <w:rFonts w:ascii="Verdana" w:eastAsia="Times New Roman" w:hAnsi="Verdana" w:cs="Times New Roman"/>
          <w:sz w:val="20"/>
          <w:szCs w:val="20"/>
          <w:lang w:val="en-GB"/>
        </w:rPr>
        <w:t xml:space="preserve"> does not expect to distribute any divi</w:t>
      </w:r>
      <w:r w:rsidR="00B90B28" w:rsidRPr="00302C5A">
        <w:rPr>
          <w:rFonts w:ascii="Verdana" w:eastAsia="Times New Roman" w:hAnsi="Verdana" w:cs="Times New Roman"/>
          <w:sz w:val="20"/>
          <w:szCs w:val="20"/>
          <w:lang w:val="en-GB"/>
        </w:rPr>
        <w:t>dend for the financial year 2014</w:t>
      </w:r>
      <w:r w:rsidRPr="00302C5A">
        <w:rPr>
          <w:rFonts w:ascii="Verdana" w:eastAsia="Times New Roman" w:hAnsi="Verdana" w:cs="Times New Roman"/>
          <w:sz w:val="20"/>
          <w:szCs w:val="20"/>
          <w:lang w:val="en-GB"/>
        </w:rPr>
        <w:t xml:space="preserve"> either. In the years to come, the Company will seek to improve its equity ratio and pursue an active investment policy, including focus on the expansion of the fleet, and will to the extent possible simultaneously strive to generate sufficient capital to distribute dividends.</w:t>
      </w:r>
    </w:p>
    <w:p w:rsidR="00D23D11" w:rsidRPr="00D314DA" w:rsidRDefault="00D23D11" w:rsidP="00D133B5">
      <w:pPr>
        <w:pStyle w:val="Subtitle"/>
        <w:spacing w:before="360" w:after="0"/>
        <w:jc w:val="both"/>
        <w:rPr>
          <w:rFonts w:ascii="Verdana" w:eastAsiaTheme="minorHAnsi" w:hAnsi="Verdana" w:cs="Frutiger-Bold"/>
          <w:b/>
          <w:bCs/>
          <w:i w:val="0"/>
          <w:iCs w:val="0"/>
          <w:color w:val="auto"/>
          <w:spacing w:val="0"/>
          <w:sz w:val="20"/>
          <w:szCs w:val="20"/>
          <w:lang w:val="en-GB"/>
        </w:rPr>
      </w:pPr>
      <w:r w:rsidRPr="00D314DA">
        <w:rPr>
          <w:rFonts w:ascii="Verdana" w:eastAsiaTheme="minorHAnsi" w:hAnsi="Verdana" w:cs="Frutiger-Bold"/>
          <w:b/>
          <w:bCs/>
          <w:i w:val="0"/>
          <w:iCs w:val="0"/>
          <w:color w:val="auto"/>
          <w:spacing w:val="0"/>
          <w:sz w:val="20"/>
          <w:szCs w:val="20"/>
          <w:lang w:val="en-GB"/>
        </w:rPr>
        <w:t>Procedures for election of members to the Board of Directors</w:t>
      </w:r>
    </w:p>
    <w:p w:rsidR="00D23D11" w:rsidRDefault="00D314DA" w:rsidP="00D23D11">
      <w:pPr>
        <w:jc w:val="both"/>
        <w:rPr>
          <w:rFonts w:ascii="Verdana" w:hAnsi="Verdana"/>
          <w:sz w:val="20"/>
          <w:szCs w:val="20"/>
          <w:lang w:val="en-GB"/>
        </w:rPr>
      </w:pPr>
      <w:r w:rsidRPr="00D314DA">
        <w:rPr>
          <w:rFonts w:ascii="Verdana" w:hAnsi="Verdana"/>
          <w:sz w:val="20"/>
          <w:szCs w:val="20"/>
          <w:lang w:val="en-GB"/>
        </w:rPr>
        <w:t xml:space="preserve">Except for </w:t>
      </w:r>
      <w:r w:rsidRPr="00D314DA">
        <w:rPr>
          <w:rFonts w:ascii="Verdana" w:hAnsi="Verdana" w:cs="Arial"/>
          <w:sz w:val="20"/>
          <w:szCs w:val="20"/>
          <w:lang w:val="en"/>
        </w:rPr>
        <w:t xml:space="preserve">Jon Robert Lewis, Anil Kumar Gorthy and Philip Clausius who are elected to the Board of Directors at an Extraordinary General Meeting on 17 December 2013, the rest of the </w:t>
      </w:r>
      <w:r w:rsidR="00D23D11" w:rsidRPr="00D314DA">
        <w:rPr>
          <w:rFonts w:ascii="Verdana" w:hAnsi="Verdana"/>
          <w:sz w:val="20"/>
          <w:szCs w:val="20"/>
          <w:lang w:val="en-GB"/>
        </w:rPr>
        <w:t>members of the Board of Directors are elected at the General Meeting.</w:t>
      </w:r>
      <w:r w:rsidR="00D23D11" w:rsidRPr="00D314DA" w:rsidDel="00DE740C">
        <w:rPr>
          <w:rFonts w:ascii="Verdana" w:hAnsi="Verdana"/>
          <w:sz w:val="20"/>
          <w:szCs w:val="20"/>
          <w:lang w:val="en-GB"/>
        </w:rPr>
        <w:t xml:space="preserve"> </w:t>
      </w:r>
    </w:p>
    <w:p w:rsidR="00D314DA" w:rsidRPr="00D314DA" w:rsidRDefault="00D314DA" w:rsidP="00D23D11">
      <w:pPr>
        <w:jc w:val="both"/>
        <w:rPr>
          <w:rFonts w:ascii="Verdana" w:hAnsi="Verdana"/>
          <w:sz w:val="20"/>
          <w:szCs w:val="20"/>
          <w:lang w:val="en-GB"/>
        </w:rPr>
      </w:pPr>
      <w:r w:rsidRPr="00D314DA">
        <w:rPr>
          <w:rFonts w:ascii="Verdana" w:hAnsi="Verdana"/>
          <w:sz w:val="20"/>
          <w:szCs w:val="20"/>
          <w:lang w:val="en-GB"/>
        </w:rPr>
        <w:t xml:space="preserve">Three Board members, </w:t>
      </w:r>
      <w:r w:rsidRPr="00D314DA">
        <w:rPr>
          <w:rFonts w:ascii="Verdana" w:hAnsi="Verdana" w:cs="Arial"/>
          <w:sz w:val="20"/>
          <w:szCs w:val="20"/>
          <w:lang w:val="en"/>
        </w:rPr>
        <w:t>Erik Bartnes, Mogens Buschard and Saravana Sivasankaran, resigned from their position as board members upon completion of the restructuring.</w:t>
      </w:r>
    </w:p>
    <w:p w:rsidR="00D23D11" w:rsidRPr="00D314DA" w:rsidRDefault="00D23D11" w:rsidP="00D133B5">
      <w:pPr>
        <w:pStyle w:val="Subtitle"/>
        <w:spacing w:before="360" w:after="0"/>
        <w:jc w:val="both"/>
        <w:rPr>
          <w:rFonts w:ascii="Verdana" w:eastAsiaTheme="minorHAnsi" w:hAnsi="Verdana" w:cs="Frutiger-Bold"/>
          <w:b/>
          <w:bCs/>
          <w:i w:val="0"/>
          <w:iCs w:val="0"/>
          <w:color w:val="auto"/>
          <w:spacing w:val="0"/>
          <w:sz w:val="20"/>
          <w:szCs w:val="20"/>
          <w:lang w:val="en-GB"/>
        </w:rPr>
      </w:pPr>
      <w:r w:rsidRPr="00D314DA">
        <w:rPr>
          <w:rFonts w:ascii="Verdana" w:eastAsiaTheme="minorHAnsi" w:hAnsi="Verdana" w:cs="Frutiger-Bold"/>
          <w:b/>
          <w:bCs/>
          <w:i w:val="0"/>
          <w:iCs w:val="0"/>
          <w:color w:val="auto"/>
          <w:spacing w:val="0"/>
          <w:sz w:val="20"/>
          <w:szCs w:val="20"/>
          <w:lang w:val="en-GB"/>
        </w:rPr>
        <w:t>Procedures for making amendments to the articles of association</w:t>
      </w:r>
    </w:p>
    <w:p w:rsidR="00D23D11" w:rsidRPr="00D314DA" w:rsidRDefault="00D23D11" w:rsidP="00D23D11">
      <w:pPr>
        <w:rPr>
          <w:rFonts w:ascii="Verdana" w:hAnsi="Verdana" w:cs="Frutiger-Bold"/>
          <w:b/>
          <w:bCs/>
          <w:sz w:val="20"/>
          <w:szCs w:val="20"/>
          <w:lang w:val="en-GB"/>
        </w:rPr>
      </w:pPr>
      <w:r w:rsidRPr="00D314DA">
        <w:rPr>
          <w:rFonts w:ascii="Verdana" w:hAnsi="Verdana"/>
          <w:sz w:val="20"/>
          <w:szCs w:val="20"/>
          <w:lang w:val="en-GB"/>
        </w:rPr>
        <w:t xml:space="preserve">Resolutions to amend the Company’s articles of association are passed at the General Meeting. </w:t>
      </w:r>
    </w:p>
    <w:p w:rsidR="00D23D11" w:rsidRPr="00BB2DAB" w:rsidRDefault="00D23D11" w:rsidP="00D133B5">
      <w:pPr>
        <w:pStyle w:val="Subtitle"/>
        <w:spacing w:before="360" w:after="0"/>
        <w:jc w:val="both"/>
        <w:rPr>
          <w:rFonts w:ascii="Verdana" w:eastAsiaTheme="minorHAnsi" w:hAnsi="Verdana" w:cs="Frutiger-Bold"/>
          <w:b/>
          <w:bCs/>
          <w:i w:val="0"/>
          <w:iCs w:val="0"/>
          <w:color w:val="auto"/>
          <w:spacing w:val="0"/>
          <w:sz w:val="20"/>
          <w:szCs w:val="20"/>
          <w:lang w:val="en-GB"/>
        </w:rPr>
      </w:pPr>
      <w:r w:rsidRPr="00BB2DAB">
        <w:rPr>
          <w:rFonts w:ascii="Verdana" w:eastAsiaTheme="minorHAnsi" w:hAnsi="Verdana" w:cs="Frutiger-Bold"/>
          <w:b/>
          <w:bCs/>
          <w:i w:val="0"/>
          <w:iCs w:val="0"/>
          <w:color w:val="auto"/>
          <w:spacing w:val="0"/>
          <w:sz w:val="20"/>
          <w:szCs w:val="20"/>
          <w:lang w:val="en-GB"/>
        </w:rPr>
        <w:t>Financial calendar 201</w:t>
      </w:r>
      <w:r w:rsidR="00BB2DAB" w:rsidRPr="00BB2DAB">
        <w:rPr>
          <w:rFonts w:ascii="Verdana" w:eastAsiaTheme="minorHAnsi" w:hAnsi="Verdana" w:cs="Frutiger-Bold"/>
          <w:b/>
          <w:bCs/>
          <w:i w:val="0"/>
          <w:iCs w:val="0"/>
          <w:color w:val="auto"/>
          <w:spacing w:val="0"/>
          <w:sz w:val="20"/>
          <w:szCs w:val="20"/>
          <w:lang w:val="en-GB"/>
        </w:rPr>
        <w:t>4</w:t>
      </w:r>
    </w:p>
    <w:p w:rsidR="00D23D11" w:rsidRPr="00BB2DAB" w:rsidRDefault="00BB2DAB" w:rsidP="00D23D11">
      <w:pPr>
        <w:rPr>
          <w:rFonts w:ascii="Verdana" w:hAnsi="Verdana"/>
          <w:sz w:val="20"/>
          <w:szCs w:val="20"/>
          <w:lang w:val="en-GB"/>
        </w:rPr>
      </w:pPr>
      <w:r w:rsidRPr="00BB2DAB">
        <w:rPr>
          <w:rFonts w:ascii="Verdana" w:hAnsi="Verdana"/>
          <w:sz w:val="20"/>
          <w:szCs w:val="20"/>
          <w:lang w:val="en-GB"/>
        </w:rPr>
        <w:t>Annual Report 2013</w:t>
      </w:r>
      <w:r w:rsidR="00D23D11" w:rsidRPr="00BB2DAB">
        <w:rPr>
          <w:rFonts w:ascii="Verdana" w:hAnsi="Verdana"/>
          <w:sz w:val="20"/>
          <w:szCs w:val="20"/>
          <w:lang w:val="en-GB"/>
        </w:rPr>
        <w:tab/>
      </w:r>
      <w:r w:rsidR="00D23D11" w:rsidRPr="00BB2DAB">
        <w:rPr>
          <w:rFonts w:ascii="Verdana" w:hAnsi="Verdana"/>
          <w:sz w:val="20"/>
          <w:szCs w:val="20"/>
          <w:lang w:val="en-GB"/>
        </w:rPr>
        <w:tab/>
      </w:r>
      <w:r w:rsidR="00D23D11" w:rsidRPr="00BB2DAB">
        <w:rPr>
          <w:rFonts w:ascii="Verdana" w:hAnsi="Verdana"/>
          <w:sz w:val="20"/>
          <w:szCs w:val="20"/>
          <w:lang w:val="en-GB"/>
        </w:rPr>
        <w:tab/>
      </w:r>
      <w:r w:rsidR="00D23D11" w:rsidRPr="00BB2DAB">
        <w:rPr>
          <w:rFonts w:ascii="Verdana" w:hAnsi="Verdana"/>
          <w:sz w:val="20"/>
          <w:szCs w:val="20"/>
          <w:lang w:val="en-GB"/>
        </w:rPr>
        <w:tab/>
      </w:r>
      <w:r w:rsidRPr="00BB2DAB">
        <w:rPr>
          <w:rFonts w:ascii="Verdana" w:hAnsi="Verdana"/>
          <w:sz w:val="20"/>
          <w:szCs w:val="20"/>
          <w:lang w:val="en-GB"/>
        </w:rPr>
        <w:t>11 March 2014</w:t>
      </w:r>
    </w:p>
    <w:p w:rsidR="00D23D11" w:rsidRPr="00BB2DAB" w:rsidRDefault="00BB2DAB" w:rsidP="00D23D11">
      <w:pPr>
        <w:rPr>
          <w:rFonts w:ascii="Verdana" w:hAnsi="Verdana"/>
          <w:sz w:val="20"/>
          <w:szCs w:val="20"/>
          <w:lang w:val="en-GB"/>
        </w:rPr>
      </w:pPr>
      <w:r w:rsidRPr="00BB2DAB">
        <w:rPr>
          <w:rFonts w:ascii="Verdana" w:hAnsi="Verdana"/>
          <w:sz w:val="20"/>
          <w:szCs w:val="20"/>
          <w:lang w:val="en-GB"/>
        </w:rPr>
        <w:t>Ordinary general meeting</w:t>
      </w:r>
      <w:r w:rsidRPr="00BB2DAB">
        <w:rPr>
          <w:rFonts w:ascii="Verdana" w:hAnsi="Verdana"/>
          <w:sz w:val="20"/>
          <w:szCs w:val="20"/>
          <w:lang w:val="en-GB"/>
        </w:rPr>
        <w:tab/>
      </w:r>
      <w:r w:rsidRPr="00BB2DAB">
        <w:rPr>
          <w:rFonts w:ascii="Verdana" w:hAnsi="Verdana"/>
          <w:sz w:val="20"/>
          <w:szCs w:val="20"/>
          <w:lang w:val="en-GB"/>
        </w:rPr>
        <w:tab/>
      </w:r>
      <w:r w:rsidRPr="00BB2DAB">
        <w:rPr>
          <w:rFonts w:ascii="Verdana" w:hAnsi="Verdana"/>
          <w:sz w:val="20"/>
          <w:szCs w:val="20"/>
          <w:lang w:val="en-GB"/>
        </w:rPr>
        <w:tab/>
        <w:t>15</w:t>
      </w:r>
      <w:r w:rsidR="00D23D11" w:rsidRPr="00BB2DAB">
        <w:rPr>
          <w:rFonts w:ascii="Verdana" w:hAnsi="Verdana"/>
          <w:sz w:val="20"/>
          <w:szCs w:val="20"/>
          <w:lang w:val="en-GB"/>
        </w:rPr>
        <w:t xml:space="preserve"> April 201</w:t>
      </w:r>
      <w:r w:rsidRPr="00BB2DAB">
        <w:rPr>
          <w:rFonts w:ascii="Verdana" w:hAnsi="Verdana"/>
          <w:sz w:val="20"/>
          <w:szCs w:val="20"/>
          <w:lang w:val="en-GB"/>
        </w:rPr>
        <w:t>4</w:t>
      </w:r>
    </w:p>
    <w:p w:rsidR="00D23D11" w:rsidRPr="00BB2DAB" w:rsidRDefault="00D23D11" w:rsidP="00D23D11">
      <w:pPr>
        <w:rPr>
          <w:rFonts w:ascii="Verdana" w:hAnsi="Verdana"/>
          <w:sz w:val="20"/>
          <w:szCs w:val="20"/>
          <w:lang w:val="en-GB"/>
        </w:rPr>
      </w:pPr>
      <w:r w:rsidRPr="00BB2DAB">
        <w:rPr>
          <w:rFonts w:ascii="Verdana" w:hAnsi="Verdana"/>
          <w:sz w:val="20"/>
          <w:szCs w:val="20"/>
          <w:lang w:val="en-GB"/>
        </w:rPr>
        <w:t>Interim report - Q1 201</w:t>
      </w:r>
      <w:r w:rsidR="00BB2DAB" w:rsidRPr="00BB2DAB">
        <w:rPr>
          <w:rFonts w:ascii="Verdana" w:hAnsi="Verdana"/>
          <w:sz w:val="20"/>
          <w:szCs w:val="20"/>
          <w:lang w:val="en-GB"/>
        </w:rPr>
        <w:t>4</w:t>
      </w:r>
      <w:r w:rsidRPr="00BB2DAB">
        <w:rPr>
          <w:rFonts w:ascii="Verdana" w:hAnsi="Verdana"/>
          <w:sz w:val="20"/>
          <w:szCs w:val="20"/>
          <w:lang w:val="en-GB"/>
        </w:rPr>
        <w:tab/>
        <w:t xml:space="preserve"> </w:t>
      </w:r>
      <w:r w:rsidRPr="00BB2DAB">
        <w:rPr>
          <w:rFonts w:ascii="Verdana" w:hAnsi="Verdana"/>
          <w:sz w:val="20"/>
          <w:szCs w:val="20"/>
          <w:lang w:val="en-GB"/>
        </w:rPr>
        <w:tab/>
      </w:r>
      <w:r w:rsidRPr="00BB2DAB">
        <w:rPr>
          <w:rFonts w:ascii="Verdana" w:hAnsi="Verdana"/>
          <w:sz w:val="20"/>
          <w:szCs w:val="20"/>
          <w:lang w:val="en-GB"/>
        </w:rPr>
        <w:tab/>
      </w:r>
      <w:r w:rsidR="00BB2DAB" w:rsidRPr="00BB2DAB">
        <w:rPr>
          <w:rFonts w:ascii="Verdana" w:hAnsi="Verdana"/>
          <w:sz w:val="20"/>
          <w:szCs w:val="20"/>
          <w:lang w:val="en-GB"/>
        </w:rPr>
        <w:t>27 May 2014</w:t>
      </w:r>
    </w:p>
    <w:p w:rsidR="00D23D11" w:rsidRPr="00BB2DAB" w:rsidRDefault="00BB2DAB" w:rsidP="00D23D11">
      <w:pPr>
        <w:rPr>
          <w:rFonts w:ascii="Verdana" w:hAnsi="Verdana"/>
          <w:sz w:val="20"/>
          <w:szCs w:val="20"/>
          <w:lang w:val="en-GB"/>
        </w:rPr>
      </w:pPr>
      <w:r w:rsidRPr="00BB2DAB">
        <w:rPr>
          <w:rFonts w:ascii="Verdana" w:hAnsi="Verdana"/>
          <w:sz w:val="20"/>
          <w:szCs w:val="20"/>
          <w:lang w:val="en-GB"/>
        </w:rPr>
        <w:t>H1 interim report 2014</w:t>
      </w:r>
      <w:r w:rsidR="00D23D11" w:rsidRPr="00BB2DAB">
        <w:rPr>
          <w:rFonts w:ascii="Verdana" w:hAnsi="Verdana"/>
          <w:sz w:val="20"/>
          <w:szCs w:val="20"/>
          <w:lang w:val="en-GB"/>
        </w:rPr>
        <w:t xml:space="preserve"> </w:t>
      </w:r>
      <w:r w:rsidR="00D23D11" w:rsidRPr="00BB2DAB">
        <w:rPr>
          <w:rFonts w:ascii="Verdana" w:hAnsi="Verdana"/>
          <w:sz w:val="20"/>
          <w:szCs w:val="20"/>
          <w:lang w:val="en-GB"/>
        </w:rPr>
        <w:tab/>
      </w:r>
      <w:r w:rsidR="00D23D11" w:rsidRPr="00BB2DAB">
        <w:rPr>
          <w:rFonts w:ascii="Verdana" w:hAnsi="Verdana"/>
          <w:sz w:val="20"/>
          <w:szCs w:val="20"/>
          <w:lang w:val="en-GB"/>
        </w:rPr>
        <w:tab/>
      </w:r>
      <w:r w:rsidR="00D23D11" w:rsidRPr="00BB2DAB">
        <w:rPr>
          <w:rFonts w:ascii="Verdana" w:hAnsi="Verdana"/>
          <w:sz w:val="20"/>
          <w:szCs w:val="20"/>
          <w:lang w:val="en-GB"/>
        </w:rPr>
        <w:tab/>
      </w:r>
      <w:r w:rsidRPr="00BB2DAB">
        <w:rPr>
          <w:rFonts w:ascii="Verdana" w:hAnsi="Verdana"/>
          <w:sz w:val="20"/>
          <w:szCs w:val="20"/>
          <w:lang w:val="en-GB"/>
        </w:rPr>
        <w:t>26 August 2014</w:t>
      </w:r>
    </w:p>
    <w:p w:rsidR="00D23D11" w:rsidRDefault="00BB2DAB" w:rsidP="00D23D11">
      <w:pPr>
        <w:rPr>
          <w:rFonts w:ascii="Verdana" w:hAnsi="Verdana"/>
          <w:sz w:val="20"/>
          <w:szCs w:val="20"/>
          <w:lang w:val="en-GB"/>
        </w:rPr>
      </w:pPr>
      <w:r w:rsidRPr="00BB2DAB">
        <w:rPr>
          <w:rFonts w:ascii="Verdana" w:hAnsi="Verdana"/>
          <w:sz w:val="20"/>
          <w:szCs w:val="20"/>
          <w:lang w:val="en-GB"/>
        </w:rPr>
        <w:t>Interim report - Q3 2014</w:t>
      </w:r>
      <w:r w:rsidR="00D23D11" w:rsidRPr="00BB2DAB">
        <w:rPr>
          <w:rFonts w:ascii="Verdana" w:hAnsi="Verdana"/>
          <w:sz w:val="20"/>
          <w:szCs w:val="20"/>
          <w:lang w:val="en-GB"/>
        </w:rPr>
        <w:tab/>
      </w:r>
      <w:r w:rsidR="00D23D11" w:rsidRPr="00BB2DAB">
        <w:rPr>
          <w:rFonts w:ascii="Verdana" w:hAnsi="Verdana"/>
          <w:sz w:val="20"/>
          <w:szCs w:val="20"/>
          <w:lang w:val="en-GB"/>
        </w:rPr>
        <w:tab/>
      </w:r>
      <w:r w:rsidR="00D23D11" w:rsidRPr="00BB2DAB">
        <w:rPr>
          <w:rFonts w:ascii="Verdana" w:hAnsi="Verdana"/>
          <w:sz w:val="20"/>
          <w:szCs w:val="20"/>
          <w:lang w:val="en-GB"/>
        </w:rPr>
        <w:tab/>
        <w:t>2</w:t>
      </w:r>
      <w:r w:rsidRPr="00BB2DAB">
        <w:rPr>
          <w:rFonts w:ascii="Verdana" w:hAnsi="Verdana"/>
          <w:sz w:val="20"/>
          <w:szCs w:val="20"/>
          <w:lang w:val="en-GB"/>
        </w:rPr>
        <w:t>5 November 2014</w:t>
      </w:r>
    </w:p>
    <w:p w:rsidR="00565178" w:rsidRPr="00EF3F29" w:rsidRDefault="00565178" w:rsidP="00D23D11">
      <w:pPr>
        <w:rPr>
          <w:rFonts w:ascii="Verdana" w:hAnsi="Verdana"/>
          <w:sz w:val="20"/>
          <w:szCs w:val="20"/>
          <w:lang w:val="en-GB"/>
        </w:rPr>
      </w:pPr>
    </w:p>
    <w:p w:rsidR="00D23D11" w:rsidRPr="00D23D11" w:rsidRDefault="00D23D11">
      <w:pPr>
        <w:rPr>
          <w:lang w:val="en-GB"/>
        </w:rPr>
      </w:pPr>
    </w:p>
    <w:p w:rsidR="00D23D11" w:rsidRPr="003874B8" w:rsidRDefault="008D0F62" w:rsidP="00935297">
      <w:pPr>
        <w:pStyle w:val="Heading1"/>
        <w:jc w:val="both"/>
        <w:rPr>
          <w:rFonts w:ascii="Verdana" w:hAnsi="Verdana"/>
          <w:color w:val="auto"/>
          <w:sz w:val="20"/>
          <w:szCs w:val="20"/>
          <w:lang w:val="en-GB"/>
        </w:rPr>
      </w:pPr>
      <w:r w:rsidRPr="00013AE8">
        <w:rPr>
          <w:rFonts w:ascii="Verdana" w:hAnsi="Verdana"/>
          <w:color w:val="FF0000"/>
          <w:sz w:val="20"/>
          <w:szCs w:val="20"/>
          <w:lang w:val="en-GB"/>
        </w:rPr>
        <w:br w:type="page"/>
      </w:r>
      <w:bookmarkStart w:id="48" w:name="_Toc320195192"/>
      <w:r w:rsidR="00D23D11" w:rsidRPr="00A45666">
        <w:rPr>
          <w:rFonts w:ascii="Verdana" w:hAnsi="Verdana"/>
          <w:color w:val="17365D" w:themeColor="text2" w:themeShade="BF"/>
          <w:sz w:val="40"/>
          <w:szCs w:val="20"/>
          <w:lang w:val="en-GB"/>
        </w:rPr>
        <w:lastRenderedPageBreak/>
        <w:t>Board of Directors</w:t>
      </w:r>
      <w:r w:rsidR="00D23D11" w:rsidRPr="003874B8">
        <w:rPr>
          <w:rFonts w:ascii="Verdana" w:hAnsi="Verdana"/>
          <w:color w:val="17365D" w:themeColor="text2" w:themeShade="BF"/>
          <w:sz w:val="40"/>
          <w:szCs w:val="20"/>
          <w:lang w:val="en-GB"/>
        </w:rPr>
        <w:t xml:space="preserve"> and Executive Board</w:t>
      </w:r>
      <w:bookmarkEnd w:id="48"/>
    </w:p>
    <w:p w:rsidR="00D133B5" w:rsidRPr="00A50179" w:rsidRDefault="00D23D11" w:rsidP="00D133B5">
      <w:pPr>
        <w:pStyle w:val="Subtitle"/>
        <w:spacing w:before="480" w:after="280"/>
        <w:jc w:val="both"/>
        <w:rPr>
          <w:rFonts w:ascii="Verdana" w:eastAsiaTheme="minorHAnsi" w:hAnsi="Verdana" w:cs="Frutiger-Bold"/>
          <w:b/>
          <w:bCs/>
          <w:i w:val="0"/>
          <w:color w:val="95B3D7" w:themeColor="accent1" w:themeTint="99"/>
          <w:sz w:val="20"/>
          <w:szCs w:val="20"/>
          <w:lang w:val="en-GB"/>
        </w:rPr>
      </w:pPr>
      <w:r w:rsidRPr="00A50179">
        <w:rPr>
          <w:rFonts w:ascii="Verdana" w:eastAsiaTheme="minorHAnsi" w:hAnsi="Verdana" w:cs="Frutiger-Bold"/>
          <w:b/>
          <w:bCs/>
          <w:i w:val="0"/>
          <w:color w:val="95B3D7" w:themeColor="accent1" w:themeTint="99"/>
          <w:sz w:val="20"/>
          <w:szCs w:val="20"/>
          <w:lang w:val="en-GB"/>
        </w:rPr>
        <w:t>Board of Directors</w:t>
      </w:r>
    </w:p>
    <w:p w:rsidR="00D23D11" w:rsidRPr="00D133B5" w:rsidRDefault="00D23D11" w:rsidP="00D133B5">
      <w:pPr>
        <w:spacing w:before="160" w:after="0"/>
        <w:jc w:val="both"/>
        <w:rPr>
          <w:rFonts w:ascii="Verdana" w:hAnsi="Verdana"/>
          <w:b/>
          <w:sz w:val="20"/>
          <w:szCs w:val="20"/>
          <w:lang w:val="en-GB"/>
        </w:rPr>
      </w:pPr>
      <w:r w:rsidRPr="00D133B5">
        <w:rPr>
          <w:rFonts w:ascii="Verdana" w:hAnsi="Verdana"/>
          <w:b/>
          <w:sz w:val="20"/>
          <w:szCs w:val="20"/>
          <w:lang w:val="en-GB"/>
        </w:rPr>
        <w:t>Knud Pontoppidan</w:t>
      </w:r>
    </w:p>
    <w:p w:rsidR="00D23D11" w:rsidRPr="00D133B5" w:rsidRDefault="00D23D11" w:rsidP="00D23D11">
      <w:pPr>
        <w:spacing w:after="0"/>
        <w:jc w:val="both"/>
        <w:rPr>
          <w:rFonts w:ascii="Verdana" w:hAnsi="Verdana"/>
          <w:sz w:val="20"/>
          <w:szCs w:val="20"/>
          <w:lang w:val="en-GB"/>
        </w:rPr>
      </w:pPr>
      <w:r w:rsidRPr="00D133B5">
        <w:rPr>
          <w:rFonts w:ascii="Verdana" w:hAnsi="Verdana"/>
          <w:sz w:val="20"/>
          <w:szCs w:val="20"/>
          <w:lang w:val="en-GB"/>
        </w:rPr>
        <w:t xml:space="preserve">Chairman of the Board. </w:t>
      </w:r>
    </w:p>
    <w:p w:rsidR="00D23D11" w:rsidRPr="00D133B5" w:rsidRDefault="00D23D11" w:rsidP="00D23D11">
      <w:pPr>
        <w:spacing w:after="0"/>
        <w:jc w:val="both"/>
        <w:rPr>
          <w:rFonts w:ascii="Verdana" w:hAnsi="Verdana"/>
          <w:sz w:val="20"/>
          <w:szCs w:val="20"/>
          <w:lang w:val="en-GB"/>
        </w:rPr>
      </w:pPr>
      <w:r w:rsidRPr="00D133B5">
        <w:rPr>
          <w:rFonts w:ascii="Verdana" w:hAnsi="Verdana"/>
          <w:sz w:val="20"/>
          <w:szCs w:val="20"/>
          <w:lang w:val="en-GB"/>
        </w:rPr>
        <w:t xml:space="preserve">Born 1944. Elected to the Board of Directors on 22 April 2010. </w:t>
      </w:r>
    </w:p>
    <w:p w:rsidR="00D23D11" w:rsidRPr="00D133B5" w:rsidRDefault="00D23D11" w:rsidP="00D23D11">
      <w:pPr>
        <w:spacing w:after="0"/>
        <w:jc w:val="both"/>
        <w:rPr>
          <w:rFonts w:ascii="Verdana" w:hAnsi="Verdana"/>
          <w:b/>
          <w:sz w:val="20"/>
          <w:szCs w:val="20"/>
          <w:lang w:val="en-GB"/>
        </w:rPr>
      </w:pPr>
    </w:p>
    <w:p w:rsidR="00D23D11" w:rsidRPr="00D133B5" w:rsidRDefault="00D23D11" w:rsidP="00D23D11">
      <w:pPr>
        <w:spacing w:after="0"/>
        <w:jc w:val="both"/>
        <w:rPr>
          <w:rFonts w:ascii="Verdana" w:hAnsi="Verdana"/>
          <w:i/>
          <w:sz w:val="20"/>
          <w:szCs w:val="20"/>
          <w:lang w:val="en-GB"/>
        </w:rPr>
      </w:pPr>
      <w:r w:rsidRPr="00D133B5">
        <w:rPr>
          <w:rFonts w:ascii="Verdana" w:hAnsi="Verdana"/>
          <w:i/>
          <w:sz w:val="20"/>
          <w:szCs w:val="20"/>
          <w:lang w:val="en-GB"/>
        </w:rPr>
        <w:t>Background:</w:t>
      </w:r>
      <w:r w:rsidRPr="00D133B5">
        <w:rPr>
          <w:rFonts w:ascii="Verdana" w:hAnsi="Verdana"/>
          <w:i/>
          <w:sz w:val="20"/>
          <w:szCs w:val="20"/>
          <w:lang w:val="en-GB"/>
        </w:rPr>
        <w:tab/>
      </w:r>
    </w:p>
    <w:p w:rsidR="00D23D11" w:rsidRDefault="00D23D11" w:rsidP="00D23D11">
      <w:pPr>
        <w:spacing w:after="0"/>
        <w:jc w:val="both"/>
        <w:rPr>
          <w:rFonts w:ascii="Verdana" w:hAnsi="Verdana"/>
          <w:sz w:val="20"/>
          <w:szCs w:val="20"/>
          <w:lang w:val="en-GB"/>
        </w:rPr>
      </w:pPr>
      <w:r w:rsidRPr="000532A9">
        <w:rPr>
          <w:rFonts w:ascii="Verdana" w:hAnsi="Verdana"/>
          <w:sz w:val="20"/>
          <w:szCs w:val="20"/>
          <w:lang w:val="en-GB"/>
        </w:rPr>
        <w:t xml:space="preserve">Former Chairman and Managing Director of Danish Shipowners’ Association and Executive </w:t>
      </w:r>
      <w:r w:rsidR="001E0E6A">
        <w:rPr>
          <w:rFonts w:ascii="Verdana" w:hAnsi="Verdana"/>
          <w:sz w:val="20"/>
          <w:szCs w:val="20"/>
          <w:lang w:val="en-GB"/>
        </w:rPr>
        <w:t>Vice President in A.P. Møller-Mae</w:t>
      </w:r>
      <w:r w:rsidRPr="000532A9">
        <w:rPr>
          <w:rFonts w:ascii="Verdana" w:hAnsi="Verdana"/>
          <w:sz w:val="20"/>
          <w:szCs w:val="20"/>
          <w:lang w:val="en-GB"/>
        </w:rPr>
        <w:t>rsk A/S.</w:t>
      </w:r>
    </w:p>
    <w:p w:rsidR="005304B2" w:rsidRDefault="005304B2" w:rsidP="00D23D11">
      <w:pPr>
        <w:spacing w:after="0"/>
        <w:jc w:val="both"/>
        <w:rPr>
          <w:rFonts w:ascii="Verdana" w:hAnsi="Verdana"/>
          <w:sz w:val="20"/>
          <w:szCs w:val="20"/>
          <w:lang w:val="en-GB"/>
        </w:rPr>
      </w:pPr>
    </w:p>
    <w:p w:rsidR="00D23D11" w:rsidRPr="00D133B5" w:rsidRDefault="00D23D11" w:rsidP="00D23D11">
      <w:pPr>
        <w:spacing w:after="0"/>
        <w:jc w:val="both"/>
        <w:rPr>
          <w:rFonts w:ascii="Verdana" w:hAnsi="Verdana"/>
          <w:i/>
          <w:sz w:val="20"/>
          <w:szCs w:val="20"/>
          <w:lang w:val="en-GB"/>
        </w:rPr>
      </w:pPr>
      <w:r w:rsidRPr="00D133B5">
        <w:rPr>
          <w:rFonts w:ascii="Verdana" w:hAnsi="Verdana"/>
          <w:i/>
          <w:sz w:val="20"/>
          <w:szCs w:val="20"/>
          <w:lang w:val="en-GB"/>
        </w:rPr>
        <w:t>Education:</w:t>
      </w:r>
    </w:p>
    <w:p w:rsidR="00D23D11" w:rsidRPr="000532A9" w:rsidRDefault="00D23D11" w:rsidP="00D23D11">
      <w:pPr>
        <w:spacing w:after="0"/>
        <w:jc w:val="both"/>
        <w:rPr>
          <w:rFonts w:ascii="Verdana" w:hAnsi="Verdana"/>
          <w:sz w:val="20"/>
          <w:szCs w:val="20"/>
          <w:lang w:val="en-GB"/>
        </w:rPr>
      </w:pPr>
      <w:r w:rsidRPr="000532A9">
        <w:rPr>
          <w:rFonts w:ascii="Verdana" w:hAnsi="Verdana"/>
          <w:sz w:val="20"/>
          <w:szCs w:val="20"/>
          <w:lang w:val="en-GB"/>
        </w:rPr>
        <w:t>LLM (cand. jur.), University of Copenhagen.</w:t>
      </w:r>
    </w:p>
    <w:p w:rsidR="00D23D11" w:rsidRPr="000532A9" w:rsidRDefault="00D23D11" w:rsidP="00D23D11">
      <w:pPr>
        <w:spacing w:after="0"/>
        <w:jc w:val="both"/>
        <w:rPr>
          <w:rFonts w:ascii="Verdana" w:hAnsi="Verdana"/>
          <w:b/>
          <w:sz w:val="20"/>
          <w:szCs w:val="20"/>
          <w:lang w:val="en-GB"/>
        </w:rPr>
      </w:pPr>
    </w:p>
    <w:p w:rsidR="00D23D11" w:rsidRPr="00D133B5" w:rsidRDefault="00D23D11" w:rsidP="00D23D11">
      <w:pPr>
        <w:spacing w:after="0"/>
        <w:jc w:val="both"/>
        <w:rPr>
          <w:rFonts w:ascii="Verdana" w:hAnsi="Verdana"/>
          <w:i/>
          <w:sz w:val="20"/>
          <w:szCs w:val="20"/>
          <w:lang w:val="en-GB"/>
        </w:rPr>
      </w:pPr>
      <w:r w:rsidRPr="00D133B5">
        <w:rPr>
          <w:rFonts w:ascii="Verdana" w:hAnsi="Verdana"/>
          <w:i/>
          <w:sz w:val="20"/>
          <w:szCs w:val="20"/>
          <w:lang w:val="en-GB"/>
        </w:rPr>
        <w:t>Other management duties, etc</w:t>
      </w:r>
      <w:r w:rsidR="003874B8">
        <w:rPr>
          <w:rFonts w:ascii="Verdana" w:hAnsi="Verdana"/>
          <w:i/>
          <w:sz w:val="20"/>
          <w:szCs w:val="20"/>
          <w:lang w:val="en-GB"/>
        </w:rPr>
        <w:t>.</w:t>
      </w:r>
      <w:r w:rsidRPr="00D133B5">
        <w:rPr>
          <w:rFonts w:ascii="Verdana" w:hAnsi="Verdana"/>
          <w:i/>
          <w:sz w:val="20"/>
          <w:szCs w:val="20"/>
          <w:lang w:val="en-GB"/>
        </w:rPr>
        <w:t xml:space="preserve">: </w:t>
      </w:r>
    </w:p>
    <w:p w:rsidR="005304B2" w:rsidRDefault="005304B2" w:rsidP="00422A52">
      <w:pPr>
        <w:spacing w:after="0"/>
        <w:jc w:val="both"/>
        <w:rPr>
          <w:rFonts w:ascii="Verdana" w:hAnsi="Verdana"/>
          <w:sz w:val="20"/>
          <w:szCs w:val="20"/>
        </w:rPr>
      </w:pPr>
      <w:r>
        <w:rPr>
          <w:rFonts w:ascii="Verdana" w:hAnsi="Verdana"/>
          <w:sz w:val="20"/>
          <w:szCs w:val="20"/>
        </w:rPr>
        <w:t xml:space="preserve">Chairman of the Board of Directors of </w:t>
      </w:r>
      <w:r w:rsidR="00422A52" w:rsidRPr="003F76A2">
        <w:rPr>
          <w:rFonts w:ascii="Verdana" w:hAnsi="Verdana"/>
          <w:sz w:val="20"/>
          <w:szCs w:val="20"/>
        </w:rPr>
        <w:t>Den Danske Maritime F</w:t>
      </w:r>
      <w:r>
        <w:rPr>
          <w:rFonts w:ascii="Verdana" w:hAnsi="Verdana"/>
          <w:sz w:val="20"/>
          <w:szCs w:val="20"/>
        </w:rPr>
        <w:t>u</w:t>
      </w:r>
      <w:r w:rsidR="00422A52" w:rsidRPr="003F76A2">
        <w:rPr>
          <w:rFonts w:ascii="Verdana" w:hAnsi="Verdana"/>
          <w:sz w:val="20"/>
          <w:szCs w:val="20"/>
        </w:rPr>
        <w:t xml:space="preserve">nd, </w:t>
      </w:r>
      <w:r>
        <w:rPr>
          <w:rFonts w:ascii="Verdana" w:hAnsi="Verdana"/>
          <w:sz w:val="20"/>
          <w:szCs w:val="20"/>
        </w:rPr>
        <w:t xml:space="preserve">Through </w:t>
      </w:r>
      <w:r w:rsidR="00422A52" w:rsidRPr="003F76A2">
        <w:rPr>
          <w:rFonts w:ascii="Verdana" w:hAnsi="Verdana"/>
          <w:sz w:val="20"/>
          <w:szCs w:val="20"/>
        </w:rPr>
        <w:t>Transport Mut</w:t>
      </w:r>
      <w:r>
        <w:rPr>
          <w:rFonts w:ascii="Verdana" w:hAnsi="Verdana"/>
          <w:sz w:val="20"/>
          <w:szCs w:val="20"/>
        </w:rPr>
        <w:t xml:space="preserve">ual Insurance Association Ltd. and </w:t>
      </w:r>
      <w:r w:rsidR="00422A52" w:rsidRPr="003F76A2">
        <w:rPr>
          <w:rFonts w:ascii="Verdana" w:hAnsi="Verdana"/>
          <w:sz w:val="20"/>
          <w:szCs w:val="20"/>
        </w:rPr>
        <w:t xml:space="preserve">TT Club Mutual Insurance Ltd. </w:t>
      </w:r>
    </w:p>
    <w:p w:rsidR="00422A52" w:rsidRPr="005304B2" w:rsidRDefault="005304B2" w:rsidP="00422A52">
      <w:pPr>
        <w:spacing w:after="0"/>
        <w:jc w:val="both"/>
        <w:rPr>
          <w:rFonts w:ascii="Verdana" w:hAnsi="Verdana"/>
          <w:sz w:val="20"/>
          <w:szCs w:val="20"/>
          <w:lang w:val="en-GB"/>
        </w:rPr>
      </w:pPr>
      <w:r w:rsidRPr="005304B2">
        <w:rPr>
          <w:rFonts w:ascii="Verdana" w:hAnsi="Verdana"/>
          <w:sz w:val="20"/>
          <w:szCs w:val="20"/>
        </w:rPr>
        <w:t xml:space="preserve">Member of the Board of Directors of </w:t>
      </w:r>
      <w:r w:rsidR="00422A52" w:rsidRPr="005304B2">
        <w:rPr>
          <w:rFonts w:ascii="Verdana" w:hAnsi="Verdana"/>
          <w:sz w:val="20"/>
          <w:szCs w:val="20"/>
          <w:lang w:val="en-GB"/>
        </w:rPr>
        <w:t>Ejendomsselskabet Absalon A/S, SeaMall A</w:t>
      </w:r>
      <w:r w:rsidRPr="005304B2">
        <w:rPr>
          <w:rFonts w:ascii="Verdana" w:hAnsi="Verdana"/>
          <w:sz w:val="20"/>
          <w:szCs w:val="20"/>
          <w:lang w:val="en-GB"/>
        </w:rPr>
        <w:t>p</w:t>
      </w:r>
      <w:r w:rsidR="00422A52" w:rsidRPr="005304B2">
        <w:rPr>
          <w:rFonts w:ascii="Verdana" w:hAnsi="Verdana"/>
          <w:sz w:val="20"/>
          <w:szCs w:val="20"/>
          <w:lang w:val="en-GB"/>
        </w:rPr>
        <w:t xml:space="preserve">S, </w:t>
      </w:r>
      <w:r w:rsidRPr="005304B2">
        <w:rPr>
          <w:rFonts w:ascii="Verdana" w:hAnsi="Verdana"/>
          <w:sz w:val="20"/>
          <w:szCs w:val="20"/>
          <w:lang w:val="da-DK"/>
        </w:rPr>
        <w:t>Stiftelsen Sorø Akademi and</w:t>
      </w:r>
      <w:r w:rsidR="00422A52" w:rsidRPr="005304B2">
        <w:rPr>
          <w:rFonts w:ascii="Verdana" w:hAnsi="Verdana"/>
          <w:sz w:val="20"/>
          <w:szCs w:val="20"/>
          <w:lang w:val="da-DK"/>
        </w:rPr>
        <w:t xml:space="preserve"> </w:t>
      </w:r>
      <w:r w:rsidRPr="005304B2">
        <w:rPr>
          <w:rFonts w:ascii="Verdana" w:hAnsi="Verdana"/>
          <w:sz w:val="20"/>
          <w:szCs w:val="20"/>
          <w:lang w:val="en-GB"/>
        </w:rPr>
        <w:t>Soransk Samfunds Boligfond</w:t>
      </w:r>
    </w:p>
    <w:p w:rsidR="005304B2" w:rsidRDefault="005304B2" w:rsidP="0066253F">
      <w:pPr>
        <w:spacing w:after="0"/>
        <w:jc w:val="both"/>
        <w:rPr>
          <w:rFonts w:ascii="Verdana" w:hAnsi="Verdana"/>
          <w:sz w:val="20"/>
          <w:szCs w:val="20"/>
          <w:lang w:val="en-GB"/>
        </w:rPr>
      </w:pPr>
      <w:r>
        <w:rPr>
          <w:rFonts w:ascii="Verdana" w:hAnsi="Verdana"/>
          <w:sz w:val="20"/>
          <w:szCs w:val="20"/>
          <w:lang w:val="en-GB"/>
        </w:rPr>
        <w:t>CEO</w:t>
      </w:r>
      <w:r w:rsidRPr="005304B2">
        <w:rPr>
          <w:rFonts w:ascii="Verdana" w:hAnsi="Verdana"/>
          <w:sz w:val="20"/>
          <w:szCs w:val="20"/>
          <w:lang w:val="en-GB"/>
        </w:rPr>
        <w:t xml:space="preserve"> of Seamall Invest ApS and K. Pontoppidan ApS.</w:t>
      </w:r>
    </w:p>
    <w:p w:rsidR="0066253F" w:rsidRPr="005304B2" w:rsidRDefault="0066253F" w:rsidP="0066253F">
      <w:pPr>
        <w:spacing w:after="0"/>
        <w:jc w:val="both"/>
        <w:rPr>
          <w:rFonts w:ascii="Verdana" w:hAnsi="Verdana"/>
          <w:sz w:val="20"/>
          <w:szCs w:val="20"/>
          <w:lang w:val="en-GB"/>
        </w:rPr>
      </w:pPr>
    </w:p>
    <w:p w:rsidR="00D23D11" w:rsidRPr="0066253F" w:rsidRDefault="0066253F" w:rsidP="0066253F">
      <w:pPr>
        <w:spacing w:after="0"/>
        <w:jc w:val="both"/>
        <w:rPr>
          <w:rFonts w:ascii="Verdana" w:hAnsi="Verdana"/>
          <w:sz w:val="20"/>
          <w:szCs w:val="20"/>
          <w:lang w:val="en-GB"/>
        </w:rPr>
      </w:pPr>
      <w:r w:rsidRPr="0066253F">
        <w:rPr>
          <w:rFonts w:ascii="Verdana" w:hAnsi="Verdana"/>
          <w:sz w:val="20"/>
          <w:szCs w:val="20"/>
          <w:lang w:val="en-GB"/>
        </w:rPr>
        <w:t>Knud Pontoppidan is c</w:t>
      </w:r>
      <w:r w:rsidR="00D23D11" w:rsidRPr="0066253F">
        <w:rPr>
          <w:rFonts w:ascii="Verdana" w:hAnsi="Verdana"/>
          <w:sz w:val="20"/>
          <w:szCs w:val="20"/>
          <w:lang w:val="en-GB"/>
        </w:rPr>
        <w:t>onsidered independent.</w:t>
      </w:r>
    </w:p>
    <w:p w:rsidR="00D23D11" w:rsidRDefault="00D23D11" w:rsidP="00D23D11">
      <w:pPr>
        <w:spacing w:after="0"/>
        <w:jc w:val="both"/>
        <w:rPr>
          <w:rFonts w:ascii="Verdana" w:hAnsi="Verdana"/>
          <w:b/>
          <w:sz w:val="20"/>
          <w:szCs w:val="20"/>
          <w:lang w:val="en-GB"/>
        </w:rPr>
      </w:pPr>
    </w:p>
    <w:p w:rsidR="005304B2" w:rsidRDefault="005304B2" w:rsidP="00D23D11">
      <w:pPr>
        <w:spacing w:after="0"/>
        <w:jc w:val="both"/>
        <w:rPr>
          <w:rFonts w:ascii="Verdana" w:hAnsi="Verdana"/>
          <w:b/>
          <w:sz w:val="20"/>
          <w:szCs w:val="20"/>
          <w:lang w:val="en-GB"/>
        </w:rPr>
      </w:pPr>
    </w:p>
    <w:p w:rsidR="0066253F" w:rsidRDefault="0066253F" w:rsidP="0066253F">
      <w:pPr>
        <w:pStyle w:val="TextMain"/>
        <w:autoSpaceDE w:val="0"/>
        <w:autoSpaceDN w:val="0"/>
        <w:snapToGrid/>
        <w:spacing w:after="0" w:line="240" w:lineRule="auto"/>
        <w:rPr>
          <w:lang w:val="en-SG"/>
        </w:rPr>
      </w:pPr>
      <w:r>
        <w:rPr>
          <w:b/>
          <w:bCs/>
          <w:sz w:val="20"/>
          <w:szCs w:val="20"/>
          <w:lang w:val="en-GB"/>
        </w:rPr>
        <w:t>Jon Robert Lewis</w:t>
      </w:r>
      <w:r>
        <w:rPr>
          <w:sz w:val="20"/>
          <w:szCs w:val="20"/>
          <w:lang w:val="en-GB"/>
        </w:rPr>
        <w:t xml:space="preserve"> </w:t>
      </w:r>
    </w:p>
    <w:p w:rsidR="0066253F" w:rsidRDefault="0066253F" w:rsidP="0066253F">
      <w:pPr>
        <w:jc w:val="both"/>
        <w:rPr>
          <w:lang w:val="en-SG"/>
        </w:rPr>
      </w:pPr>
      <w:r>
        <w:rPr>
          <w:rFonts w:ascii="Verdana" w:hAnsi="Verdana"/>
          <w:sz w:val="20"/>
          <w:szCs w:val="20"/>
          <w:lang w:val="en-GB"/>
        </w:rPr>
        <w:t xml:space="preserve">Deputy Chairman of the Board. </w:t>
      </w:r>
    </w:p>
    <w:p w:rsidR="0066253F" w:rsidRDefault="0066253F" w:rsidP="0066253F">
      <w:pPr>
        <w:jc w:val="both"/>
        <w:rPr>
          <w:lang w:val="en-SG"/>
        </w:rPr>
      </w:pPr>
      <w:r>
        <w:rPr>
          <w:rFonts w:ascii="Verdana" w:hAnsi="Verdana"/>
          <w:sz w:val="20"/>
          <w:szCs w:val="20"/>
          <w:lang w:val="en-GB"/>
        </w:rPr>
        <w:t>Born 1962. Elected to the Board of Directors on 17 December 2013.</w:t>
      </w:r>
    </w:p>
    <w:p w:rsidR="0066253F" w:rsidRDefault="0066253F" w:rsidP="0066253F">
      <w:pPr>
        <w:pStyle w:val="TextMain"/>
        <w:autoSpaceDE w:val="0"/>
        <w:autoSpaceDN w:val="0"/>
        <w:snapToGrid/>
        <w:spacing w:after="0" w:line="240" w:lineRule="auto"/>
        <w:rPr>
          <w:lang w:val="en-SG"/>
        </w:rPr>
      </w:pPr>
      <w:r>
        <w:rPr>
          <w:i/>
          <w:iCs/>
          <w:sz w:val="20"/>
          <w:szCs w:val="20"/>
          <w:lang w:val="en-GB"/>
        </w:rPr>
        <w:t>Background:</w:t>
      </w:r>
    </w:p>
    <w:p w:rsidR="0066253F" w:rsidRDefault="0066253F" w:rsidP="0066253F">
      <w:pPr>
        <w:pStyle w:val="TextMain"/>
        <w:autoSpaceDE w:val="0"/>
        <w:autoSpaceDN w:val="0"/>
        <w:snapToGrid/>
        <w:spacing w:after="0" w:line="240" w:lineRule="auto"/>
        <w:rPr>
          <w:lang w:val="en-SG"/>
        </w:rPr>
      </w:pPr>
      <w:r>
        <w:rPr>
          <w:sz w:val="20"/>
          <w:szCs w:val="20"/>
          <w:lang w:val="en-GB"/>
        </w:rPr>
        <w:t>Partner, Managing Director and Group General Counsel of PAG.</w:t>
      </w:r>
    </w:p>
    <w:p w:rsidR="0066253F" w:rsidRDefault="0066253F" w:rsidP="0066253F">
      <w:pPr>
        <w:pStyle w:val="TextMain"/>
        <w:autoSpaceDE w:val="0"/>
        <w:autoSpaceDN w:val="0"/>
        <w:snapToGrid/>
        <w:spacing w:after="0" w:line="240" w:lineRule="auto"/>
        <w:rPr>
          <w:lang w:val="en-SG"/>
        </w:rPr>
      </w:pPr>
      <w:r>
        <w:rPr>
          <w:sz w:val="20"/>
          <w:szCs w:val="20"/>
          <w:lang w:val="en-GB"/>
        </w:rPr>
        <w:t> </w:t>
      </w:r>
    </w:p>
    <w:p w:rsidR="0066253F" w:rsidRDefault="0066253F" w:rsidP="0066253F">
      <w:pPr>
        <w:pStyle w:val="TextMain"/>
        <w:spacing w:after="0" w:line="240" w:lineRule="auto"/>
        <w:rPr>
          <w:lang w:val="en-SG"/>
        </w:rPr>
      </w:pPr>
      <w:r>
        <w:rPr>
          <w:i/>
          <w:iCs/>
          <w:sz w:val="20"/>
          <w:szCs w:val="20"/>
          <w:lang w:val="en-GB"/>
        </w:rPr>
        <w:t>Education:</w:t>
      </w:r>
    </w:p>
    <w:p w:rsidR="0066253F" w:rsidRDefault="0066253F" w:rsidP="0066253F">
      <w:pPr>
        <w:pStyle w:val="TextMain"/>
        <w:spacing w:after="0" w:line="240" w:lineRule="auto"/>
        <w:rPr>
          <w:lang w:val="en-SG"/>
        </w:rPr>
      </w:pPr>
      <w:r>
        <w:rPr>
          <w:sz w:val="20"/>
          <w:szCs w:val="20"/>
          <w:lang w:val="en-GB"/>
        </w:rPr>
        <w:t>Graduate from Cornell University and the University of Michigan Law School.</w:t>
      </w:r>
    </w:p>
    <w:p w:rsidR="0066253F" w:rsidRDefault="0066253F" w:rsidP="0066253F">
      <w:pPr>
        <w:pStyle w:val="TextMain"/>
        <w:spacing w:after="0" w:line="240" w:lineRule="auto"/>
        <w:rPr>
          <w:lang w:val="en-SG"/>
        </w:rPr>
      </w:pPr>
      <w:r>
        <w:rPr>
          <w:sz w:val="20"/>
          <w:szCs w:val="20"/>
          <w:lang w:val="en-GB"/>
        </w:rPr>
        <w:t> </w:t>
      </w:r>
    </w:p>
    <w:p w:rsidR="0066253F" w:rsidRDefault="0066253F" w:rsidP="0066253F">
      <w:pPr>
        <w:spacing w:after="0"/>
        <w:jc w:val="both"/>
        <w:rPr>
          <w:rFonts w:ascii="Verdana" w:hAnsi="Verdana"/>
          <w:i/>
          <w:iCs/>
          <w:sz w:val="20"/>
          <w:szCs w:val="20"/>
          <w:lang w:val="en-GB"/>
        </w:rPr>
      </w:pPr>
      <w:r>
        <w:rPr>
          <w:rFonts w:ascii="Verdana" w:hAnsi="Verdana"/>
          <w:i/>
          <w:iCs/>
          <w:sz w:val="20"/>
          <w:szCs w:val="20"/>
          <w:lang w:val="en-GB"/>
        </w:rPr>
        <w:t xml:space="preserve">Other management duties, etc.: </w:t>
      </w:r>
    </w:p>
    <w:p w:rsidR="0066253F" w:rsidRPr="0066253F" w:rsidRDefault="0066253F" w:rsidP="0066253F">
      <w:pPr>
        <w:spacing w:after="0"/>
        <w:jc w:val="both"/>
        <w:rPr>
          <w:rFonts w:ascii="Verdana" w:hAnsi="Verdana"/>
          <w:sz w:val="20"/>
          <w:szCs w:val="20"/>
          <w:lang w:val="en-SG"/>
        </w:rPr>
      </w:pPr>
      <w:r w:rsidRPr="0066253F">
        <w:rPr>
          <w:rFonts w:ascii="Verdana" w:hAnsi="Verdana"/>
          <w:sz w:val="20"/>
          <w:szCs w:val="20"/>
          <w:lang w:val="en-GB"/>
        </w:rPr>
        <w:t xml:space="preserve">Member of the Board of Directors of ACP Trading Limited, ARCH Secretaries Limited, Ariel Asset Daebu Yuhanhoeasa, Ariel Asset Holding B.V., Asia Saphire Pte. Ltd., Asia Pragati Capfin Private Limited, China Equity Investments Limited, DBZ (Cyprus) Limited, Indigo Star Investments Limited, Nordic Maritime S.à r.l., Numen Holding B.V., Pacific Alliance Equity Partners Limited, Pacific Alliance Group Asset Management Limited, Pacific Alliance Group Limited, Pacific Alliance Holding Coöperatief U.A., Pacific Alliance Special Situations Management Limited, Pacific Alliance-FF Management Limited, Pacific Alliance-W Management Limited, Pacific Mainland Capital Management Co. Ltd., PACL Secretaries Limited, PAEP Management Limited, PAEP Secretaries Limited, PAFF Secretaries Limited, PAG – KP Management Limited, PAG Asia Capital GP I Limited, PAG Asia Loan Limited, PAG Asia Loan Management Limited, PAG China Equity Investment Management Limited, PAG China Investment Limited, PAG China Limited, PAG Consulting Australia Pty Ltd., PAG Credit Opportunities Limited, PAG Credit Opportunities Management Limited, PAG Holdings Limited, PAG IPR Holdings Limited, PAG Japan Limited, PAG Quantitative Strategies Investment Management Limited, PAG Quantitative Strategies Limited, PAG </w:t>
      </w:r>
      <w:r w:rsidRPr="0066253F">
        <w:rPr>
          <w:rFonts w:ascii="Verdana" w:hAnsi="Verdana"/>
          <w:sz w:val="20"/>
          <w:szCs w:val="20"/>
          <w:lang w:val="en-GB"/>
        </w:rPr>
        <w:lastRenderedPageBreak/>
        <w:t>Quantitative Strategies Management Limited, PAG Real Estate (HK) Limited, PAG Real Estate Limited, PAG Real Estate GP Limited, PAG Real Estate Value Limited, PAG Secretaries Limited, PAG Special Situations Limited, PAIM GP I Limited, PAIM GP II Limited, PAIM Secretaries Limited, PAL GP I Limited, PAL GP II Limited, PA-LF Secretaries Limited, PARE Secretaries Limited, PASS Secretaries Limited, PA-W Secretaries Limited, PAX Secretaries Limited, SCJREP IV HK Limited, Truman Holding B.V., Pacific Alliance Business Consulting (Shanghai) Co. Ltd.</w:t>
      </w:r>
    </w:p>
    <w:p w:rsidR="0066253F" w:rsidRPr="0066253F" w:rsidRDefault="0066253F" w:rsidP="0066253F">
      <w:pPr>
        <w:spacing w:after="0" w:line="240" w:lineRule="auto"/>
        <w:jc w:val="both"/>
        <w:rPr>
          <w:rFonts w:ascii="Verdana" w:hAnsi="Verdana"/>
          <w:sz w:val="20"/>
          <w:szCs w:val="20"/>
          <w:lang w:val="en-SG"/>
        </w:rPr>
      </w:pPr>
      <w:r w:rsidRPr="0066253F">
        <w:rPr>
          <w:rFonts w:ascii="Verdana" w:hAnsi="Verdana"/>
          <w:b/>
          <w:bCs/>
          <w:sz w:val="20"/>
          <w:szCs w:val="20"/>
          <w:lang w:val="en-GB"/>
        </w:rPr>
        <w:t> </w:t>
      </w:r>
    </w:p>
    <w:p w:rsidR="005A72BE" w:rsidRPr="0066253F" w:rsidRDefault="005A72BE" w:rsidP="0066253F">
      <w:pPr>
        <w:pStyle w:val="TextMain"/>
        <w:autoSpaceDE w:val="0"/>
        <w:autoSpaceDN w:val="0"/>
        <w:snapToGrid/>
        <w:spacing w:after="0" w:line="240" w:lineRule="auto"/>
        <w:ind w:right="-1"/>
        <w:rPr>
          <w:b/>
          <w:sz w:val="20"/>
          <w:szCs w:val="20"/>
          <w:lang w:val="en-GB"/>
        </w:rPr>
      </w:pPr>
      <w:r w:rsidRPr="0066253F">
        <w:rPr>
          <w:sz w:val="20"/>
          <w:szCs w:val="20"/>
          <w:lang w:val="en-GB"/>
        </w:rPr>
        <w:t>Jon Robert Lewis</w:t>
      </w:r>
      <w:r w:rsidR="00B3140D" w:rsidRPr="0066253F">
        <w:rPr>
          <w:sz w:val="20"/>
          <w:szCs w:val="20"/>
          <w:lang w:val="en-GB"/>
        </w:rPr>
        <w:t xml:space="preserve"> is not considered independent due to his relationship with major shareholder of the Company.</w:t>
      </w:r>
      <w:r w:rsidR="00B3140D" w:rsidRPr="0066253F">
        <w:rPr>
          <w:b/>
          <w:sz w:val="20"/>
          <w:szCs w:val="20"/>
          <w:lang w:val="en-GB"/>
        </w:rPr>
        <w:t xml:space="preserve"> </w:t>
      </w:r>
    </w:p>
    <w:p w:rsidR="00524122" w:rsidRPr="000532A9" w:rsidRDefault="00524122" w:rsidP="00D23D11">
      <w:pPr>
        <w:spacing w:after="0"/>
        <w:jc w:val="both"/>
        <w:rPr>
          <w:rFonts w:ascii="Verdana" w:hAnsi="Verdana"/>
          <w:color w:val="FF0000"/>
          <w:sz w:val="20"/>
          <w:szCs w:val="20"/>
          <w:lang w:val="en-GB"/>
        </w:rPr>
      </w:pPr>
    </w:p>
    <w:p w:rsidR="00D23D11" w:rsidRDefault="00D23D11" w:rsidP="00C84D1B">
      <w:pPr>
        <w:spacing w:after="0"/>
        <w:jc w:val="both"/>
        <w:rPr>
          <w:rFonts w:ascii="Verdana" w:hAnsi="Verdana"/>
          <w:b/>
          <w:sz w:val="20"/>
          <w:szCs w:val="20"/>
          <w:lang w:val="en-GB"/>
        </w:rPr>
      </w:pPr>
      <w:r w:rsidRPr="00D133B5">
        <w:rPr>
          <w:rFonts w:ascii="Verdana" w:hAnsi="Verdana"/>
          <w:b/>
          <w:sz w:val="20"/>
          <w:szCs w:val="20"/>
          <w:lang w:val="en-GB"/>
        </w:rPr>
        <w:t>Kristian V. Morch</w:t>
      </w:r>
    </w:p>
    <w:p w:rsidR="00C84D1B" w:rsidRPr="00C84D1B" w:rsidRDefault="00C84D1B" w:rsidP="00C84D1B">
      <w:pPr>
        <w:spacing w:after="0"/>
        <w:jc w:val="both"/>
        <w:rPr>
          <w:rFonts w:ascii="Verdana" w:hAnsi="Verdana"/>
          <w:sz w:val="20"/>
          <w:szCs w:val="20"/>
          <w:lang w:val="en-GB"/>
        </w:rPr>
      </w:pPr>
      <w:r w:rsidRPr="00C84D1B">
        <w:rPr>
          <w:rFonts w:ascii="Verdana" w:hAnsi="Verdana"/>
          <w:sz w:val="20"/>
          <w:szCs w:val="20"/>
          <w:lang w:val="en-GB"/>
        </w:rPr>
        <w:t>Member of the Board</w:t>
      </w:r>
      <w:r>
        <w:rPr>
          <w:rFonts w:ascii="Verdana" w:hAnsi="Verdana"/>
          <w:sz w:val="20"/>
          <w:szCs w:val="20"/>
          <w:lang w:val="en-GB"/>
        </w:rPr>
        <w:t>.</w:t>
      </w:r>
    </w:p>
    <w:p w:rsidR="00D23D11" w:rsidRPr="00181111" w:rsidRDefault="00D23D11" w:rsidP="00D23D11">
      <w:pPr>
        <w:spacing w:after="0"/>
        <w:jc w:val="both"/>
        <w:rPr>
          <w:rFonts w:ascii="Verdana" w:hAnsi="Verdana"/>
          <w:sz w:val="20"/>
          <w:szCs w:val="20"/>
          <w:lang w:val="en-GB"/>
        </w:rPr>
      </w:pPr>
      <w:r w:rsidRPr="00181111">
        <w:rPr>
          <w:rFonts w:ascii="Verdana" w:hAnsi="Verdana"/>
          <w:sz w:val="20"/>
          <w:szCs w:val="20"/>
          <w:lang w:val="en-GB"/>
        </w:rPr>
        <w:t>Born 1967. Elected to the Board of Directors 20 April 2012</w:t>
      </w:r>
      <w:r w:rsidR="00C84D1B">
        <w:rPr>
          <w:rFonts w:ascii="Verdana" w:hAnsi="Verdana"/>
          <w:sz w:val="20"/>
          <w:szCs w:val="20"/>
          <w:lang w:val="en-GB"/>
        </w:rPr>
        <w:t>.</w:t>
      </w:r>
    </w:p>
    <w:p w:rsidR="00D23D11" w:rsidRPr="000532A9" w:rsidRDefault="00D23D11" w:rsidP="00D23D11">
      <w:pPr>
        <w:pStyle w:val="NormalWeb"/>
        <w:rPr>
          <w:rFonts w:ascii="Verdana" w:hAnsi="Verdana"/>
          <w:sz w:val="20"/>
          <w:szCs w:val="20"/>
          <w:lang w:val="en-GB"/>
        </w:rPr>
      </w:pPr>
      <w:r w:rsidRPr="00D133B5">
        <w:rPr>
          <w:rFonts w:ascii="Verdana" w:hAnsi="Verdana" w:cstheme="minorBidi"/>
          <w:i/>
          <w:sz w:val="20"/>
          <w:szCs w:val="20"/>
          <w:lang w:val="en-GB" w:eastAsia="en-US"/>
        </w:rPr>
        <w:t>Background</w:t>
      </w:r>
      <w:r w:rsidR="0066253F">
        <w:rPr>
          <w:rFonts w:ascii="Verdana" w:hAnsi="Verdana" w:cstheme="minorBidi"/>
          <w:i/>
          <w:sz w:val="20"/>
          <w:szCs w:val="20"/>
          <w:lang w:val="en-GB" w:eastAsia="en-US"/>
        </w:rPr>
        <w:t>:</w:t>
      </w:r>
      <w:r w:rsidRPr="00D133B5">
        <w:rPr>
          <w:rFonts w:ascii="Verdana" w:hAnsi="Verdana" w:cstheme="minorBidi"/>
          <w:i/>
          <w:sz w:val="20"/>
          <w:szCs w:val="20"/>
          <w:lang w:val="en-GB" w:eastAsia="en-US"/>
        </w:rPr>
        <w:br/>
      </w:r>
      <w:r w:rsidRPr="000532A9">
        <w:rPr>
          <w:rFonts w:ascii="Verdana" w:hAnsi="Verdana"/>
          <w:sz w:val="20"/>
          <w:szCs w:val="20"/>
          <w:lang w:val="en-GB"/>
        </w:rPr>
        <w:t>Partner</w:t>
      </w:r>
      <w:r w:rsidR="005F083A">
        <w:rPr>
          <w:rFonts w:ascii="Verdana" w:hAnsi="Verdana"/>
          <w:sz w:val="20"/>
          <w:szCs w:val="20"/>
          <w:lang w:val="en-GB"/>
        </w:rPr>
        <w:t xml:space="preserve"> &amp; CEO</w:t>
      </w:r>
      <w:r w:rsidRPr="000532A9">
        <w:rPr>
          <w:rFonts w:ascii="Verdana" w:hAnsi="Verdana"/>
          <w:sz w:val="20"/>
          <w:szCs w:val="20"/>
          <w:lang w:val="en-GB"/>
        </w:rPr>
        <w:t xml:space="preserve"> in Clipper Group. Previously 23 years with A.P. Møller-Maersk A/S, latest as COO for Maersk Tankers. </w:t>
      </w:r>
    </w:p>
    <w:p w:rsidR="00D23D11" w:rsidRPr="000532A9" w:rsidRDefault="00D23D11" w:rsidP="00D23D11">
      <w:pPr>
        <w:pStyle w:val="NormalWeb"/>
        <w:rPr>
          <w:rFonts w:ascii="Verdana" w:hAnsi="Verdana"/>
          <w:sz w:val="20"/>
          <w:szCs w:val="20"/>
          <w:lang w:val="en-GB"/>
        </w:rPr>
      </w:pPr>
      <w:r w:rsidRPr="00D133B5">
        <w:rPr>
          <w:rFonts w:ascii="Verdana" w:hAnsi="Verdana" w:cstheme="minorBidi"/>
          <w:i/>
          <w:sz w:val="20"/>
          <w:szCs w:val="20"/>
          <w:lang w:val="en-GB" w:eastAsia="en-US"/>
        </w:rPr>
        <w:t>Education:</w:t>
      </w:r>
      <w:r w:rsidRPr="00D133B5">
        <w:rPr>
          <w:rFonts w:ascii="Verdana" w:hAnsi="Verdana" w:cstheme="minorBidi"/>
          <w:i/>
          <w:sz w:val="20"/>
          <w:szCs w:val="20"/>
          <w:lang w:val="en-GB" w:eastAsia="en-US"/>
        </w:rPr>
        <w:br/>
      </w:r>
      <w:r w:rsidRPr="000532A9">
        <w:rPr>
          <w:rFonts w:ascii="Verdana" w:hAnsi="Verdana"/>
          <w:sz w:val="20"/>
          <w:szCs w:val="20"/>
          <w:lang w:val="en-GB"/>
        </w:rPr>
        <w:t>Shipping education from A.P. Møller-M</w:t>
      </w:r>
      <w:r>
        <w:rPr>
          <w:rFonts w:ascii="Verdana" w:hAnsi="Verdana"/>
          <w:sz w:val="20"/>
          <w:szCs w:val="20"/>
          <w:lang w:val="en-GB"/>
        </w:rPr>
        <w:t>ae</w:t>
      </w:r>
      <w:r w:rsidRPr="000532A9">
        <w:rPr>
          <w:rFonts w:ascii="Verdana" w:hAnsi="Verdana"/>
          <w:sz w:val="20"/>
          <w:szCs w:val="20"/>
          <w:lang w:val="en-GB"/>
        </w:rPr>
        <w:t xml:space="preserve">rsk, MBA from IMD Lausanne Switzerland, Advanced Management Program from Harvard Business School </w:t>
      </w:r>
    </w:p>
    <w:p w:rsidR="005A72BE" w:rsidRDefault="00D23D11" w:rsidP="00540EE1">
      <w:pPr>
        <w:pStyle w:val="NormalWeb"/>
        <w:spacing w:before="0" w:beforeAutospacing="0" w:after="0" w:afterAutospacing="0"/>
        <w:rPr>
          <w:rFonts w:ascii="Verdana" w:hAnsi="Verdana" w:cstheme="minorBidi"/>
          <w:i/>
          <w:sz w:val="20"/>
          <w:szCs w:val="20"/>
          <w:lang w:val="en-GB" w:eastAsia="en-US"/>
        </w:rPr>
      </w:pPr>
      <w:r w:rsidRPr="00D133B5">
        <w:rPr>
          <w:rFonts w:ascii="Verdana" w:hAnsi="Verdana" w:cstheme="minorBidi"/>
          <w:i/>
          <w:sz w:val="20"/>
          <w:szCs w:val="20"/>
          <w:lang w:val="en-GB" w:eastAsia="en-US"/>
        </w:rPr>
        <w:t>Other management duties, etc.:</w:t>
      </w:r>
    </w:p>
    <w:p w:rsidR="005A72BE" w:rsidRDefault="005A72BE" w:rsidP="00540EE1">
      <w:pPr>
        <w:pStyle w:val="TextMain"/>
        <w:spacing w:after="0" w:line="240" w:lineRule="auto"/>
        <w:ind w:right="-1"/>
        <w:rPr>
          <w:sz w:val="20"/>
          <w:szCs w:val="20"/>
          <w:lang w:val="en-GB"/>
        </w:rPr>
      </w:pPr>
      <w:r w:rsidRPr="00540EE1">
        <w:rPr>
          <w:sz w:val="20"/>
          <w:szCs w:val="20"/>
          <w:lang w:val="en-GB"/>
        </w:rPr>
        <w:t>Member of the B</w:t>
      </w:r>
      <w:r w:rsidR="00540EE1" w:rsidRPr="00540EE1">
        <w:rPr>
          <w:sz w:val="20"/>
          <w:szCs w:val="20"/>
          <w:lang w:val="en-GB"/>
        </w:rPr>
        <w:t>oard of D</w:t>
      </w:r>
      <w:r w:rsidRPr="00540EE1">
        <w:rPr>
          <w:sz w:val="20"/>
          <w:szCs w:val="20"/>
          <w:lang w:val="en-GB"/>
        </w:rPr>
        <w:t xml:space="preserve">irectors of Komplementarselskabet Clipper Air Transport ApS, Clipper Bulk A/S, Clipper Ferry Invest A/S, Clipper Lines A/S, Clipper Tankships A/S, Thorco Shipping A/S, and Clipper Projects A/S. </w:t>
      </w:r>
    </w:p>
    <w:p w:rsidR="00540EE1" w:rsidRPr="00540EE1" w:rsidRDefault="00540EE1" w:rsidP="00540EE1">
      <w:pPr>
        <w:pStyle w:val="TextMain"/>
        <w:spacing w:after="0" w:line="240" w:lineRule="auto"/>
        <w:ind w:right="-1"/>
        <w:rPr>
          <w:sz w:val="20"/>
          <w:szCs w:val="20"/>
          <w:lang w:val="en-GB"/>
        </w:rPr>
      </w:pPr>
    </w:p>
    <w:p w:rsidR="0066253F" w:rsidRDefault="003218EC" w:rsidP="0066253F">
      <w:pPr>
        <w:pStyle w:val="TextMain"/>
        <w:autoSpaceDE w:val="0"/>
        <w:autoSpaceDN w:val="0"/>
        <w:snapToGrid/>
        <w:spacing w:after="0" w:line="240" w:lineRule="auto"/>
        <w:ind w:right="-1"/>
        <w:rPr>
          <w:b/>
          <w:sz w:val="20"/>
          <w:szCs w:val="20"/>
          <w:lang w:val="en-GB"/>
        </w:rPr>
      </w:pPr>
      <w:r>
        <w:rPr>
          <w:sz w:val="20"/>
          <w:szCs w:val="20"/>
          <w:lang w:val="en-GB"/>
        </w:rPr>
        <w:t xml:space="preserve">Kristian V. Morch is </w:t>
      </w:r>
      <w:r w:rsidR="0066253F" w:rsidRPr="0066253F">
        <w:rPr>
          <w:sz w:val="20"/>
          <w:szCs w:val="20"/>
          <w:lang w:val="en-GB"/>
        </w:rPr>
        <w:t xml:space="preserve">considered </w:t>
      </w:r>
      <w:r w:rsidR="00CA051D">
        <w:rPr>
          <w:sz w:val="20"/>
          <w:szCs w:val="20"/>
          <w:lang w:val="en-GB"/>
        </w:rPr>
        <w:t xml:space="preserve">not independent as the Group has had transactions with the Clipper Group of which he is the </w:t>
      </w:r>
      <w:r w:rsidR="00CA051D" w:rsidRPr="000532A9">
        <w:rPr>
          <w:sz w:val="20"/>
          <w:szCs w:val="20"/>
          <w:lang w:val="en-GB"/>
        </w:rPr>
        <w:t>Partner</w:t>
      </w:r>
      <w:r w:rsidR="00CA051D">
        <w:rPr>
          <w:sz w:val="20"/>
          <w:szCs w:val="20"/>
          <w:lang w:val="en-GB"/>
        </w:rPr>
        <w:t xml:space="preserve"> &amp; CEO.</w:t>
      </w:r>
    </w:p>
    <w:p w:rsidR="00540EE1" w:rsidRDefault="00540EE1" w:rsidP="00D23D11">
      <w:pPr>
        <w:spacing w:after="0"/>
        <w:jc w:val="both"/>
        <w:rPr>
          <w:rFonts w:ascii="Verdana" w:hAnsi="Verdana"/>
          <w:sz w:val="20"/>
          <w:szCs w:val="20"/>
          <w:lang w:val="en-GB"/>
        </w:rPr>
      </w:pPr>
    </w:p>
    <w:p w:rsidR="00540EE1" w:rsidRDefault="00540EE1" w:rsidP="00540EE1">
      <w:pPr>
        <w:spacing w:after="0"/>
        <w:jc w:val="both"/>
        <w:rPr>
          <w:rFonts w:ascii="Verdana" w:hAnsi="Verdana"/>
          <w:sz w:val="20"/>
          <w:szCs w:val="20"/>
          <w:lang w:val="en-GB"/>
        </w:rPr>
      </w:pPr>
      <w:r w:rsidRPr="00540EE1">
        <w:rPr>
          <w:rFonts w:ascii="Verdana" w:hAnsi="Verdana"/>
          <w:b/>
          <w:sz w:val="20"/>
          <w:szCs w:val="20"/>
          <w:lang w:val="en-GB"/>
        </w:rPr>
        <w:t>Anil Kumar Gorthy</w:t>
      </w:r>
      <w:r w:rsidRPr="00540EE1">
        <w:rPr>
          <w:rFonts w:ascii="Verdana" w:hAnsi="Verdana"/>
          <w:sz w:val="20"/>
          <w:szCs w:val="20"/>
          <w:lang w:val="en-GB"/>
        </w:rPr>
        <w:t xml:space="preserve"> </w:t>
      </w:r>
    </w:p>
    <w:p w:rsidR="00C84D1B" w:rsidRPr="00C84D1B" w:rsidRDefault="00C84D1B" w:rsidP="00C84D1B">
      <w:pPr>
        <w:spacing w:after="0"/>
        <w:jc w:val="both"/>
        <w:rPr>
          <w:rFonts w:ascii="Verdana" w:hAnsi="Verdana"/>
          <w:sz w:val="20"/>
          <w:szCs w:val="20"/>
          <w:lang w:val="en-GB"/>
        </w:rPr>
      </w:pPr>
      <w:r w:rsidRPr="00C84D1B">
        <w:rPr>
          <w:rFonts w:ascii="Verdana" w:hAnsi="Verdana"/>
          <w:sz w:val="20"/>
          <w:szCs w:val="20"/>
          <w:lang w:val="en-GB"/>
        </w:rPr>
        <w:t>Member of the Board</w:t>
      </w:r>
      <w:r>
        <w:rPr>
          <w:rFonts w:ascii="Verdana" w:hAnsi="Verdana"/>
          <w:sz w:val="20"/>
          <w:szCs w:val="20"/>
          <w:lang w:val="en-GB"/>
        </w:rPr>
        <w:t>.</w:t>
      </w:r>
    </w:p>
    <w:p w:rsidR="00540EE1" w:rsidRPr="00540EE1" w:rsidRDefault="00540EE1" w:rsidP="00540EE1">
      <w:pPr>
        <w:spacing w:after="0"/>
        <w:jc w:val="both"/>
        <w:rPr>
          <w:rFonts w:ascii="Verdana" w:hAnsi="Verdana"/>
          <w:sz w:val="20"/>
          <w:szCs w:val="20"/>
          <w:lang w:val="en-GB"/>
        </w:rPr>
      </w:pPr>
      <w:r w:rsidRPr="00540EE1">
        <w:rPr>
          <w:rFonts w:ascii="Verdana" w:hAnsi="Verdana"/>
          <w:sz w:val="20"/>
          <w:szCs w:val="20"/>
          <w:lang w:val="en-GB"/>
        </w:rPr>
        <w:t>Born 1975. Elected to the Board of Directors 17 December 2013.</w:t>
      </w:r>
    </w:p>
    <w:p w:rsidR="00540EE1" w:rsidRPr="00540EE1" w:rsidRDefault="00540EE1" w:rsidP="00D23D11">
      <w:pPr>
        <w:spacing w:after="0"/>
        <w:jc w:val="both"/>
        <w:rPr>
          <w:rFonts w:ascii="Verdana" w:hAnsi="Verdana"/>
          <w:sz w:val="20"/>
          <w:szCs w:val="20"/>
          <w:lang w:val="en-GB"/>
        </w:rPr>
      </w:pPr>
    </w:p>
    <w:p w:rsidR="00540EE1" w:rsidRPr="00540EE1" w:rsidRDefault="00540EE1" w:rsidP="00540EE1">
      <w:pPr>
        <w:spacing w:after="0"/>
        <w:jc w:val="both"/>
        <w:rPr>
          <w:rFonts w:ascii="Verdana" w:hAnsi="Verdana"/>
          <w:i/>
          <w:sz w:val="20"/>
          <w:szCs w:val="20"/>
          <w:lang w:val="en-GB"/>
        </w:rPr>
      </w:pPr>
      <w:r w:rsidRPr="00540EE1">
        <w:rPr>
          <w:rFonts w:ascii="Verdana" w:hAnsi="Verdana"/>
          <w:i/>
          <w:sz w:val="20"/>
          <w:szCs w:val="20"/>
          <w:lang w:val="en-GB"/>
        </w:rPr>
        <w:t xml:space="preserve">Background: </w:t>
      </w:r>
    </w:p>
    <w:p w:rsidR="00D23D11" w:rsidRPr="00540EE1" w:rsidRDefault="00540EE1" w:rsidP="00D23D11">
      <w:pPr>
        <w:spacing w:after="0"/>
        <w:jc w:val="both"/>
        <w:rPr>
          <w:rFonts w:ascii="Verdana" w:hAnsi="Verdana"/>
          <w:sz w:val="20"/>
          <w:szCs w:val="20"/>
          <w:lang w:val="en-GB"/>
        </w:rPr>
      </w:pPr>
      <w:r w:rsidRPr="00540EE1">
        <w:rPr>
          <w:rFonts w:ascii="Verdana" w:hAnsi="Verdana"/>
          <w:sz w:val="20"/>
          <w:szCs w:val="20"/>
          <w:lang w:val="en-GB"/>
        </w:rPr>
        <w:t>Partner and Managing Director in PAG.</w:t>
      </w:r>
    </w:p>
    <w:p w:rsidR="00540EE1" w:rsidRPr="00540EE1" w:rsidRDefault="00540EE1" w:rsidP="00D23D11">
      <w:pPr>
        <w:spacing w:after="0"/>
        <w:jc w:val="both"/>
        <w:rPr>
          <w:rFonts w:ascii="Verdana" w:hAnsi="Verdana"/>
          <w:color w:val="FF0000"/>
          <w:sz w:val="20"/>
          <w:szCs w:val="20"/>
          <w:u w:val="single"/>
          <w:lang w:val="en-GB"/>
        </w:rPr>
      </w:pPr>
    </w:p>
    <w:p w:rsidR="0066253F" w:rsidRDefault="00540EE1" w:rsidP="00D23D11">
      <w:pPr>
        <w:spacing w:after="0"/>
        <w:jc w:val="both"/>
        <w:rPr>
          <w:rFonts w:ascii="Verdana" w:hAnsi="Verdana"/>
          <w:i/>
          <w:sz w:val="20"/>
          <w:szCs w:val="20"/>
          <w:lang w:val="en-GB"/>
        </w:rPr>
      </w:pPr>
      <w:r w:rsidRPr="00540EE1">
        <w:rPr>
          <w:rFonts w:ascii="Verdana" w:hAnsi="Verdana"/>
          <w:i/>
          <w:sz w:val="20"/>
          <w:szCs w:val="20"/>
          <w:lang w:val="en-GB"/>
        </w:rPr>
        <w:t>Education:</w:t>
      </w:r>
    </w:p>
    <w:p w:rsidR="00540EE1" w:rsidRPr="00540EE1" w:rsidRDefault="00540EE1" w:rsidP="00D23D11">
      <w:pPr>
        <w:spacing w:after="0"/>
        <w:jc w:val="both"/>
        <w:rPr>
          <w:rFonts w:ascii="Verdana" w:hAnsi="Verdana"/>
          <w:sz w:val="20"/>
          <w:szCs w:val="20"/>
          <w:lang w:val="en-GB"/>
        </w:rPr>
      </w:pPr>
      <w:r w:rsidRPr="00540EE1">
        <w:rPr>
          <w:rFonts w:ascii="Verdana" w:hAnsi="Verdana"/>
          <w:sz w:val="20"/>
          <w:szCs w:val="20"/>
          <w:lang w:val="en-GB"/>
        </w:rPr>
        <w:t>Bachelor in Technology and MBA from Indian Institute of Management, Calcutta.</w:t>
      </w:r>
    </w:p>
    <w:p w:rsidR="00540EE1" w:rsidRPr="00540EE1" w:rsidRDefault="00540EE1" w:rsidP="00540EE1">
      <w:pPr>
        <w:spacing w:after="0"/>
        <w:jc w:val="both"/>
        <w:rPr>
          <w:rFonts w:ascii="Verdana" w:hAnsi="Verdana"/>
          <w:i/>
          <w:sz w:val="20"/>
          <w:szCs w:val="20"/>
          <w:lang w:val="en-GB"/>
        </w:rPr>
      </w:pPr>
    </w:p>
    <w:p w:rsidR="00540EE1" w:rsidRPr="00540EE1" w:rsidRDefault="00540EE1" w:rsidP="00540EE1">
      <w:pPr>
        <w:spacing w:after="0"/>
        <w:jc w:val="both"/>
        <w:rPr>
          <w:rFonts w:ascii="Verdana" w:hAnsi="Verdana"/>
          <w:i/>
          <w:sz w:val="20"/>
          <w:szCs w:val="20"/>
          <w:lang w:val="en-GB"/>
        </w:rPr>
      </w:pPr>
      <w:r w:rsidRPr="00540EE1">
        <w:rPr>
          <w:rFonts w:ascii="Verdana" w:hAnsi="Verdana"/>
          <w:i/>
          <w:sz w:val="20"/>
          <w:szCs w:val="20"/>
          <w:lang w:val="en-GB"/>
        </w:rPr>
        <w:t xml:space="preserve">Other management duties, etc.: </w:t>
      </w:r>
    </w:p>
    <w:p w:rsidR="00540EE1" w:rsidRPr="00540EE1" w:rsidRDefault="00540EE1" w:rsidP="00540EE1">
      <w:pPr>
        <w:pStyle w:val="TextMain"/>
        <w:spacing w:line="240" w:lineRule="auto"/>
        <w:ind w:right="-1"/>
        <w:rPr>
          <w:sz w:val="20"/>
          <w:szCs w:val="20"/>
          <w:lang w:val="en-GB"/>
        </w:rPr>
      </w:pPr>
      <w:r w:rsidRPr="00540EE1">
        <w:rPr>
          <w:sz w:val="20"/>
          <w:szCs w:val="20"/>
          <w:lang w:val="en-GB"/>
        </w:rPr>
        <w:t>Member of the Board of Directors of Achieve Glory Pte. Ltd., Alpena Pte. Ltd., Asia Pragati Capfin Private Limited, Bryanston Pte. Ltd., Cash Springs Pacific Limited, Claviger Investment Pte. Ltd., Grand Paradise Pte. Ltd., Jupiter Capital Management Pte Ltd, Macro Capital Pte. Ltd., Quilington Pte. Ltd., Riko Investment Pte. Ltd., Savile Pte. Ltd., SC INVESTMENT ADVISORS PTE. LTD., Swarna Pragati Housing Microfinance Private Limited, The Great Insight Capital Pte. Ltd., and Tokee Pte. Ltd.</w:t>
      </w:r>
    </w:p>
    <w:p w:rsidR="00B3140D" w:rsidRPr="005304B2" w:rsidRDefault="00540EE1" w:rsidP="00B3140D">
      <w:pPr>
        <w:pStyle w:val="TextMain"/>
        <w:autoSpaceDE w:val="0"/>
        <w:autoSpaceDN w:val="0"/>
        <w:snapToGrid/>
        <w:spacing w:after="0" w:line="240" w:lineRule="auto"/>
        <w:ind w:right="-1"/>
        <w:rPr>
          <w:b/>
          <w:sz w:val="20"/>
          <w:szCs w:val="20"/>
          <w:lang w:val="en-GB"/>
        </w:rPr>
      </w:pPr>
      <w:r w:rsidRPr="00B3140D">
        <w:rPr>
          <w:sz w:val="20"/>
          <w:szCs w:val="20"/>
          <w:lang w:val="en-GB"/>
        </w:rPr>
        <w:t xml:space="preserve">Anil Kumar Gorthy </w:t>
      </w:r>
      <w:r w:rsidR="00B3140D" w:rsidRPr="00B3140D">
        <w:rPr>
          <w:sz w:val="20"/>
          <w:szCs w:val="20"/>
          <w:lang w:val="en-GB"/>
        </w:rPr>
        <w:t>is not considered independent due to his relationship with major shareholder of the Company.</w:t>
      </w:r>
      <w:r w:rsidR="00B3140D" w:rsidRPr="005304B2">
        <w:rPr>
          <w:b/>
          <w:sz w:val="20"/>
          <w:szCs w:val="20"/>
          <w:lang w:val="en-GB"/>
        </w:rPr>
        <w:t xml:space="preserve"> </w:t>
      </w:r>
    </w:p>
    <w:p w:rsidR="00540EE1" w:rsidRDefault="00540EE1" w:rsidP="00540EE1">
      <w:pPr>
        <w:spacing w:after="0"/>
        <w:jc w:val="both"/>
        <w:rPr>
          <w:rFonts w:ascii="Verdana" w:hAnsi="Verdana"/>
          <w:sz w:val="20"/>
          <w:szCs w:val="20"/>
          <w:lang w:val="en-GB"/>
        </w:rPr>
      </w:pPr>
    </w:p>
    <w:p w:rsidR="003819D0" w:rsidRDefault="003819D0" w:rsidP="00540EE1">
      <w:pPr>
        <w:spacing w:after="0"/>
        <w:jc w:val="both"/>
        <w:rPr>
          <w:rFonts w:ascii="Verdana" w:hAnsi="Verdana"/>
          <w:sz w:val="20"/>
          <w:szCs w:val="20"/>
          <w:lang w:val="en-GB"/>
        </w:rPr>
      </w:pPr>
    </w:p>
    <w:p w:rsidR="003819D0" w:rsidRDefault="003819D0" w:rsidP="00540EE1">
      <w:pPr>
        <w:spacing w:after="0"/>
        <w:jc w:val="both"/>
        <w:rPr>
          <w:rFonts w:ascii="Verdana" w:hAnsi="Verdana"/>
          <w:sz w:val="20"/>
          <w:szCs w:val="20"/>
          <w:lang w:val="en-GB"/>
        </w:rPr>
      </w:pPr>
    </w:p>
    <w:p w:rsidR="003819D0" w:rsidRDefault="003819D0" w:rsidP="00540EE1">
      <w:pPr>
        <w:spacing w:after="0"/>
        <w:jc w:val="both"/>
        <w:rPr>
          <w:rFonts w:ascii="Verdana" w:hAnsi="Verdana"/>
          <w:sz w:val="20"/>
          <w:szCs w:val="20"/>
          <w:lang w:val="en-GB"/>
        </w:rPr>
      </w:pPr>
    </w:p>
    <w:p w:rsidR="003819D0" w:rsidRDefault="003819D0" w:rsidP="00540EE1">
      <w:pPr>
        <w:spacing w:after="0"/>
        <w:jc w:val="both"/>
        <w:rPr>
          <w:rFonts w:ascii="Verdana" w:hAnsi="Verdana"/>
          <w:sz w:val="20"/>
          <w:szCs w:val="20"/>
          <w:lang w:val="en-GB"/>
        </w:rPr>
      </w:pPr>
    </w:p>
    <w:p w:rsidR="004C385B" w:rsidRDefault="004C385B" w:rsidP="00540EE1">
      <w:pPr>
        <w:spacing w:after="0"/>
        <w:jc w:val="both"/>
        <w:rPr>
          <w:rFonts w:ascii="Verdana" w:hAnsi="Verdana"/>
          <w:sz w:val="20"/>
          <w:szCs w:val="20"/>
          <w:lang w:val="en-GB"/>
        </w:rPr>
      </w:pPr>
    </w:p>
    <w:p w:rsidR="00540EE1" w:rsidRDefault="00441D77" w:rsidP="00D23D11">
      <w:pPr>
        <w:spacing w:after="0"/>
        <w:jc w:val="both"/>
        <w:rPr>
          <w:rFonts w:ascii="Verdana" w:hAnsi="Verdana"/>
          <w:b/>
          <w:color w:val="000000" w:themeColor="text1"/>
          <w:sz w:val="20"/>
          <w:szCs w:val="20"/>
          <w:lang w:val="en-GB"/>
        </w:rPr>
      </w:pPr>
      <w:r w:rsidRPr="00441D77">
        <w:rPr>
          <w:rFonts w:ascii="Verdana" w:hAnsi="Verdana"/>
          <w:b/>
          <w:color w:val="000000" w:themeColor="text1"/>
          <w:sz w:val="20"/>
          <w:szCs w:val="20"/>
          <w:lang w:val="en-GB"/>
        </w:rPr>
        <w:t>Philip Clausius</w:t>
      </w:r>
    </w:p>
    <w:p w:rsidR="00C84D1B" w:rsidRPr="00C84D1B" w:rsidRDefault="00C84D1B" w:rsidP="00D23D11">
      <w:pPr>
        <w:spacing w:after="0"/>
        <w:jc w:val="both"/>
        <w:rPr>
          <w:rFonts w:ascii="Verdana" w:hAnsi="Verdana"/>
          <w:color w:val="000000" w:themeColor="text1"/>
          <w:sz w:val="20"/>
          <w:szCs w:val="20"/>
          <w:lang w:val="en-GB"/>
        </w:rPr>
      </w:pPr>
      <w:r w:rsidRPr="00C84D1B">
        <w:rPr>
          <w:rFonts w:ascii="Verdana" w:hAnsi="Verdana"/>
          <w:color w:val="000000" w:themeColor="text1"/>
          <w:sz w:val="20"/>
          <w:szCs w:val="20"/>
          <w:lang w:val="en-GB"/>
        </w:rPr>
        <w:t>Chief Executive Officer (CEO)</w:t>
      </w:r>
    </w:p>
    <w:p w:rsidR="00441D77" w:rsidRPr="00540EE1" w:rsidRDefault="00441D77" w:rsidP="00441D77">
      <w:pPr>
        <w:spacing w:after="0"/>
        <w:jc w:val="both"/>
        <w:rPr>
          <w:rFonts w:ascii="Verdana" w:hAnsi="Verdana"/>
          <w:sz w:val="20"/>
          <w:szCs w:val="20"/>
          <w:lang w:val="en-GB"/>
        </w:rPr>
      </w:pPr>
      <w:r>
        <w:rPr>
          <w:rFonts w:ascii="Verdana" w:hAnsi="Verdana"/>
          <w:sz w:val="20"/>
          <w:szCs w:val="20"/>
          <w:lang w:val="en-GB"/>
        </w:rPr>
        <w:t>Born 1968.</w:t>
      </w:r>
      <w:r w:rsidRPr="00540EE1">
        <w:rPr>
          <w:rFonts w:ascii="Verdana" w:hAnsi="Verdana"/>
          <w:sz w:val="20"/>
          <w:szCs w:val="20"/>
          <w:lang w:val="en-GB"/>
        </w:rPr>
        <w:t xml:space="preserve"> Elected to the Board of Directors 17 December 2013.</w:t>
      </w:r>
    </w:p>
    <w:p w:rsidR="00441D77" w:rsidRDefault="00441D77" w:rsidP="00D23D11">
      <w:pPr>
        <w:spacing w:after="0"/>
        <w:jc w:val="both"/>
        <w:rPr>
          <w:rFonts w:ascii="Verdana" w:hAnsi="Verdana"/>
          <w:b/>
          <w:color w:val="FF0000"/>
          <w:sz w:val="20"/>
          <w:szCs w:val="20"/>
          <w:u w:val="single"/>
          <w:lang w:val="en-GB"/>
        </w:rPr>
      </w:pPr>
    </w:p>
    <w:p w:rsidR="00441D77" w:rsidRPr="00540EE1" w:rsidRDefault="00441D77" w:rsidP="00441D77">
      <w:pPr>
        <w:spacing w:after="0"/>
        <w:jc w:val="both"/>
        <w:rPr>
          <w:rFonts w:ascii="Verdana" w:hAnsi="Verdana"/>
          <w:i/>
          <w:sz w:val="20"/>
          <w:szCs w:val="20"/>
          <w:lang w:val="en-GB"/>
        </w:rPr>
      </w:pPr>
      <w:r w:rsidRPr="00540EE1">
        <w:rPr>
          <w:rFonts w:ascii="Verdana" w:hAnsi="Verdana"/>
          <w:i/>
          <w:sz w:val="20"/>
          <w:szCs w:val="20"/>
          <w:lang w:val="en-GB"/>
        </w:rPr>
        <w:t xml:space="preserve">Background: </w:t>
      </w:r>
    </w:p>
    <w:p w:rsidR="00441D77" w:rsidRPr="0066253F" w:rsidRDefault="00310C1F" w:rsidP="00441D77">
      <w:pPr>
        <w:spacing w:after="0"/>
        <w:jc w:val="both"/>
        <w:rPr>
          <w:rFonts w:ascii="Verdana" w:hAnsi="Verdana"/>
          <w:sz w:val="20"/>
          <w:szCs w:val="20"/>
          <w:lang w:val="en-GB"/>
        </w:rPr>
      </w:pPr>
      <w:r>
        <w:rPr>
          <w:rFonts w:ascii="Verdana" w:hAnsi="Verdana"/>
          <w:sz w:val="20"/>
          <w:szCs w:val="20"/>
          <w:lang w:val="en-GB"/>
        </w:rPr>
        <w:t>Previously CEO of FSL Trust Management Pte. Ltd.</w:t>
      </w:r>
      <w:r w:rsidR="00441D77" w:rsidRPr="0066253F">
        <w:rPr>
          <w:rFonts w:ascii="Verdana" w:hAnsi="Verdana"/>
          <w:sz w:val="20"/>
          <w:szCs w:val="20"/>
          <w:lang w:val="en-GB"/>
        </w:rPr>
        <w:t xml:space="preserve"> </w:t>
      </w:r>
    </w:p>
    <w:p w:rsidR="00441D77" w:rsidRPr="0066253F" w:rsidRDefault="00441D77" w:rsidP="00441D77">
      <w:pPr>
        <w:spacing w:after="0"/>
        <w:jc w:val="both"/>
        <w:rPr>
          <w:rFonts w:ascii="Verdana" w:hAnsi="Verdana"/>
          <w:color w:val="FF0000"/>
          <w:sz w:val="20"/>
          <w:szCs w:val="20"/>
          <w:u w:val="single"/>
          <w:lang w:val="en-GB"/>
        </w:rPr>
      </w:pPr>
      <w:r w:rsidRPr="0066253F">
        <w:rPr>
          <w:rFonts w:ascii="Verdana" w:hAnsi="Verdana"/>
          <w:color w:val="FF0000"/>
          <w:sz w:val="20"/>
          <w:szCs w:val="20"/>
          <w:u w:val="single"/>
          <w:lang w:val="en-GB"/>
        </w:rPr>
        <w:t xml:space="preserve"> </w:t>
      </w:r>
    </w:p>
    <w:p w:rsidR="00441D77" w:rsidRPr="0075540E" w:rsidRDefault="00441D77" w:rsidP="00441D77">
      <w:pPr>
        <w:pStyle w:val="TextMain"/>
        <w:spacing w:line="240" w:lineRule="auto"/>
        <w:ind w:right="-1"/>
        <w:rPr>
          <w:szCs w:val="18"/>
          <w:lang w:val="en-GB"/>
        </w:rPr>
      </w:pPr>
      <w:r w:rsidRPr="00540EE1">
        <w:rPr>
          <w:rFonts w:cstheme="minorBidi"/>
          <w:i/>
          <w:sz w:val="20"/>
          <w:szCs w:val="20"/>
          <w:lang w:val="en-GB"/>
        </w:rPr>
        <w:t>Education:</w:t>
      </w:r>
      <w:r w:rsidRPr="00540EE1">
        <w:rPr>
          <w:rFonts w:cstheme="minorBidi"/>
          <w:i/>
          <w:sz w:val="20"/>
          <w:szCs w:val="20"/>
          <w:lang w:val="en-GB"/>
        </w:rPr>
        <w:br/>
      </w:r>
      <w:r>
        <w:rPr>
          <w:sz w:val="20"/>
          <w:szCs w:val="20"/>
          <w:lang w:val="en-GB"/>
        </w:rPr>
        <w:t>G</w:t>
      </w:r>
      <w:r w:rsidRPr="00441D77">
        <w:rPr>
          <w:sz w:val="20"/>
          <w:szCs w:val="20"/>
          <w:lang w:val="en-GB"/>
        </w:rPr>
        <w:t>raduate degree (Diplom-Betriebswirt) in Business Administration from the European Business School, Germany.</w:t>
      </w:r>
    </w:p>
    <w:p w:rsidR="00441D77" w:rsidRPr="00540EE1" w:rsidRDefault="00441D77" w:rsidP="00441D77">
      <w:pPr>
        <w:spacing w:after="0"/>
        <w:jc w:val="both"/>
        <w:rPr>
          <w:rFonts w:ascii="Verdana" w:hAnsi="Verdana"/>
          <w:i/>
          <w:sz w:val="20"/>
          <w:szCs w:val="20"/>
          <w:lang w:val="en-GB"/>
        </w:rPr>
      </w:pPr>
      <w:r w:rsidRPr="00540EE1">
        <w:rPr>
          <w:rFonts w:ascii="Verdana" w:hAnsi="Verdana"/>
          <w:i/>
          <w:sz w:val="20"/>
          <w:szCs w:val="20"/>
          <w:lang w:val="en-GB"/>
        </w:rPr>
        <w:t xml:space="preserve">Other management duties, etc.: </w:t>
      </w:r>
    </w:p>
    <w:p w:rsidR="00441D77" w:rsidRPr="00441D77" w:rsidRDefault="00441D77" w:rsidP="00441D77">
      <w:pPr>
        <w:spacing w:after="240" w:line="240" w:lineRule="auto"/>
        <w:ind w:right="-1"/>
        <w:jc w:val="both"/>
        <w:rPr>
          <w:rFonts w:ascii="Verdana" w:hAnsi="Verdana"/>
          <w:color w:val="000000"/>
          <w:sz w:val="20"/>
          <w:szCs w:val="20"/>
          <w:lang w:val="en-GB"/>
        </w:rPr>
      </w:pPr>
      <w:r w:rsidRPr="00441D77">
        <w:rPr>
          <w:rFonts w:ascii="Verdana" w:hAnsi="Verdana"/>
          <w:sz w:val="20"/>
          <w:szCs w:val="20"/>
          <w:lang w:val="en-GB"/>
        </w:rPr>
        <w:t xml:space="preserve">CEO of Transport Capital Pte. Ltd., Singapore, Advisory board member of Singapore Maritime Foundation, and supervisor to the Board of Columbia Shipmanagement (Shanghai) Co. Ltd. </w:t>
      </w:r>
    </w:p>
    <w:p w:rsidR="00B3140D" w:rsidRPr="005304B2" w:rsidRDefault="007E6682" w:rsidP="00B3140D">
      <w:pPr>
        <w:pStyle w:val="TextMain"/>
        <w:autoSpaceDE w:val="0"/>
        <w:autoSpaceDN w:val="0"/>
        <w:snapToGrid/>
        <w:spacing w:after="0" w:line="240" w:lineRule="auto"/>
        <w:ind w:right="-1"/>
        <w:rPr>
          <w:b/>
          <w:sz w:val="20"/>
          <w:szCs w:val="20"/>
          <w:lang w:val="en-GB"/>
        </w:rPr>
      </w:pPr>
      <w:r w:rsidRPr="00B3140D">
        <w:rPr>
          <w:sz w:val="20"/>
          <w:szCs w:val="20"/>
          <w:lang w:val="en-GB"/>
        </w:rPr>
        <w:t xml:space="preserve">Philip Clausius </w:t>
      </w:r>
      <w:r w:rsidR="00B3140D" w:rsidRPr="00B3140D">
        <w:rPr>
          <w:sz w:val="20"/>
          <w:szCs w:val="20"/>
          <w:lang w:val="en-GB"/>
        </w:rPr>
        <w:t xml:space="preserve">is not considered independent </w:t>
      </w:r>
      <w:r w:rsidR="0066253F">
        <w:rPr>
          <w:sz w:val="20"/>
          <w:szCs w:val="20"/>
          <w:lang w:val="en-GB"/>
        </w:rPr>
        <w:t xml:space="preserve">as he is the </w:t>
      </w:r>
      <w:r w:rsidR="001A1EB2">
        <w:rPr>
          <w:sz w:val="20"/>
          <w:szCs w:val="20"/>
          <w:lang w:val="en-GB"/>
        </w:rPr>
        <w:t xml:space="preserve">CEO </w:t>
      </w:r>
      <w:r w:rsidR="0066253F">
        <w:rPr>
          <w:sz w:val="20"/>
          <w:szCs w:val="20"/>
          <w:lang w:val="en-GB"/>
        </w:rPr>
        <w:t xml:space="preserve">of </w:t>
      </w:r>
      <w:r w:rsidR="00B3140D" w:rsidRPr="00B3140D">
        <w:rPr>
          <w:sz w:val="20"/>
          <w:szCs w:val="20"/>
          <w:lang w:val="en-GB"/>
        </w:rPr>
        <w:t>the Company.</w:t>
      </w:r>
      <w:r w:rsidR="00B3140D" w:rsidRPr="005304B2">
        <w:rPr>
          <w:b/>
          <w:sz w:val="20"/>
          <w:szCs w:val="20"/>
          <w:lang w:val="en-GB"/>
        </w:rPr>
        <w:t xml:space="preserve"> </w:t>
      </w:r>
    </w:p>
    <w:p w:rsidR="007E6682" w:rsidRPr="00540EE1" w:rsidRDefault="007E6682" w:rsidP="007E6682">
      <w:pPr>
        <w:spacing w:after="0"/>
        <w:jc w:val="both"/>
        <w:rPr>
          <w:rFonts w:ascii="Verdana" w:hAnsi="Verdana"/>
          <w:sz w:val="20"/>
          <w:szCs w:val="20"/>
          <w:lang w:val="en-GB"/>
        </w:rPr>
      </w:pPr>
    </w:p>
    <w:p w:rsidR="00441D77" w:rsidRPr="000532A9" w:rsidRDefault="00441D77" w:rsidP="00D23D11">
      <w:pPr>
        <w:spacing w:after="0"/>
        <w:jc w:val="both"/>
        <w:rPr>
          <w:rFonts w:ascii="Verdana" w:hAnsi="Verdana"/>
          <w:b/>
          <w:color w:val="FF0000"/>
          <w:sz w:val="20"/>
          <w:szCs w:val="20"/>
          <w:u w:val="single"/>
          <w:lang w:val="en-GB"/>
        </w:rPr>
      </w:pPr>
    </w:p>
    <w:p w:rsidR="00D23D11" w:rsidRPr="00A50179" w:rsidRDefault="00D23D11" w:rsidP="00D133B5">
      <w:pPr>
        <w:pStyle w:val="Subtitle"/>
        <w:spacing w:before="480" w:after="280"/>
        <w:jc w:val="both"/>
        <w:rPr>
          <w:rFonts w:ascii="Verdana" w:eastAsiaTheme="minorHAnsi" w:hAnsi="Verdana" w:cs="Frutiger-Bold"/>
          <w:b/>
          <w:bCs/>
          <w:i w:val="0"/>
          <w:color w:val="95B3D7" w:themeColor="accent1" w:themeTint="99"/>
          <w:sz w:val="20"/>
          <w:szCs w:val="20"/>
          <w:lang w:val="en-GB"/>
        </w:rPr>
      </w:pPr>
      <w:r w:rsidRPr="00A50179">
        <w:rPr>
          <w:rFonts w:ascii="Verdana" w:eastAsiaTheme="minorHAnsi" w:hAnsi="Verdana" w:cs="Frutiger-Bold"/>
          <w:b/>
          <w:bCs/>
          <w:i w:val="0"/>
          <w:color w:val="95B3D7" w:themeColor="accent1" w:themeTint="99"/>
          <w:sz w:val="20"/>
          <w:szCs w:val="20"/>
          <w:lang w:val="en-GB"/>
        </w:rPr>
        <w:t>Executive Board</w:t>
      </w:r>
    </w:p>
    <w:p w:rsidR="00D23D11" w:rsidRPr="00D133B5" w:rsidRDefault="007E6682" w:rsidP="00D133B5">
      <w:pPr>
        <w:spacing w:before="160" w:after="0"/>
        <w:jc w:val="both"/>
        <w:rPr>
          <w:rFonts w:ascii="Verdana" w:hAnsi="Verdana"/>
          <w:b/>
          <w:sz w:val="20"/>
          <w:szCs w:val="20"/>
          <w:lang w:val="en-GB"/>
        </w:rPr>
      </w:pPr>
      <w:r>
        <w:rPr>
          <w:rFonts w:ascii="Verdana" w:hAnsi="Verdana"/>
          <w:b/>
          <w:sz w:val="20"/>
          <w:szCs w:val="20"/>
          <w:lang w:val="en-GB"/>
        </w:rPr>
        <w:t>Philip Clausius</w:t>
      </w:r>
    </w:p>
    <w:p w:rsidR="00D23D11" w:rsidRPr="00181111" w:rsidRDefault="007E6682" w:rsidP="00D23D11">
      <w:pPr>
        <w:spacing w:after="0"/>
        <w:jc w:val="both"/>
        <w:rPr>
          <w:rFonts w:ascii="Verdana" w:hAnsi="Verdana"/>
          <w:sz w:val="20"/>
          <w:szCs w:val="20"/>
          <w:lang w:val="en-GB"/>
        </w:rPr>
      </w:pPr>
      <w:r>
        <w:rPr>
          <w:rFonts w:ascii="Verdana" w:hAnsi="Verdana"/>
          <w:sz w:val="20"/>
          <w:szCs w:val="20"/>
          <w:lang w:val="en-GB"/>
        </w:rPr>
        <w:t>Born 1968</w:t>
      </w:r>
      <w:r w:rsidR="00D23D11" w:rsidRPr="00181111">
        <w:rPr>
          <w:rFonts w:ascii="Verdana" w:hAnsi="Verdana"/>
          <w:sz w:val="20"/>
          <w:szCs w:val="20"/>
          <w:lang w:val="en-GB"/>
        </w:rPr>
        <w:t>.</w:t>
      </w:r>
      <w:r w:rsidR="0066253F">
        <w:rPr>
          <w:rFonts w:ascii="Verdana" w:hAnsi="Verdana"/>
          <w:sz w:val="20"/>
          <w:szCs w:val="20"/>
          <w:lang w:val="en-GB"/>
        </w:rPr>
        <w:t xml:space="preserve"> CEO</w:t>
      </w:r>
      <w:r w:rsidR="00D23D11" w:rsidRPr="00181111">
        <w:rPr>
          <w:rFonts w:ascii="Verdana" w:hAnsi="Verdana"/>
          <w:sz w:val="20"/>
          <w:szCs w:val="20"/>
          <w:lang w:val="en-GB"/>
        </w:rPr>
        <w:t xml:space="preserve"> since </w:t>
      </w:r>
      <w:r>
        <w:rPr>
          <w:rFonts w:ascii="Verdana" w:hAnsi="Verdana"/>
          <w:sz w:val="20"/>
          <w:szCs w:val="20"/>
          <w:lang w:val="en-GB"/>
        </w:rPr>
        <w:t>2 January 2014</w:t>
      </w:r>
      <w:r w:rsidR="00D23D11" w:rsidRPr="00181111">
        <w:rPr>
          <w:rFonts w:ascii="Verdana" w:hAnsi="Verdana"/>
          <w:sz w:val="20"/>
          <w:szCs w:val="20"/>
          <w:lang w:val="en-GB"/>
        </w:rPr>
        <w:t>.</w:t>
      </w:r>
    </w:p>
    <w:p w:rsidR="00D23D11" w:rsidRPr="000532A9" w:rsidRDefault="00D23D11" w:rsidP="00D23D11">
      <w:pPr>
        <w:spacing w:after="0"/>
        <w:jc w:val="both"/>
        <w:rPr>
          <w:rFonts w:ascii="Verdana" w:hAnsi="Verdana"/>
          <w:b/>
          <w:sz w:val="20"/>
          <w:szCs w:val="20"/>
          <w:lang w:val="en-GB"/>
        </w:rPr>
      </w:pPr>
    </w:p>
    <w:p w:rsidR="008D0F62" w:rsidRPr="00B47AC9" w:rsidRDefault="007E6682" w:rsidP="007E6682">
      <w:pPr>
        <w:spacing w:after="0"/>
        <w:jc w:val="both"/>
      </w:pPr>
      <w:r w:rsidRPr="00B47AC9">
        <w:rPr>
          <w:rFonts w:ascii="Verdana" w:hAnsi="Verdana"/>
          <w:sz w:val="20"/>
          <w:szCs w:val="20"/>
          <w:lang w:val="en-GB"/>
        </w:rPr>
        <w:t xml:space="preserve">As Philip Clausius is also a director of Nordic Shipholding, please see his profile under Board of Directors. </w:t>
      </w:r>
    </w:p>
    <w:p w:rsidR="00AB227B" w:rsidRPr="00A50179" w:rsidRDefault="00AB227B" w:rsidP="00AB227B">
      <w:pPr>
        <w:pStyle w:val="Subtitle"/>
        <w:spacing w:before="480" w:after="280"/>
        <w:jc w:val="both"/>
        <w:rPr>
          <w:rFonts w:ascii="Verdana" w:eastAsiaTheme="minorHAnsi" w:hAnsi="Verdana" w:cs="Frutiger-Bold"/>
          <w:b/>
          <w:bCs/>
          <w:i w:val="0"/>
          <w:color w:val="95B3D7" w:themeColor="accent1" w:themeTint="99"/>
          <w:sz w:val="20"/>
          <w:szCs w:val="20"/>
          <w:lang w:val="en-GB"/>
        </w:rPr>
      </w:pPr>
      <w:r w:rsidRPr="00A50179">
        <w:rPr>
          <w:rFonts w:ascii="Verdana" w:eastAsiaTheme="minorHAnsi" w:hAnsi="Verdana" w:cs="Frutiger-Bold"/>
          <w:b/>
          <w:bCs/>
          <w:i w:val="0"/>
          <w:color w:val="95B3D7" w:themeColor="accent1" w:themeTint="99"/>
          <w:sz w:val="20"/>
          <w:szCs w:val="20"/>
          <w:lang w:val="en-GB"/>
        </w:rPr>
        <w:t>Board members</w:t>
      </w:r>
      <w:r w:rsidR="00820B44" w:rsidRPr="00A50179">
        <w:rPr>
          <w:rFonts w:ascii="Verdana" w:eastAsiaTheme="minorHAnsi" w:hAnsi="Verdana" w:cs="Frutiger-Bold"/>
          <w:b/>
          <w:bCs/>
          <w:i w:val="0"/>
          <w:color w:val="95B3D7" w:themeColor="accent1" w:themeTint="99"/>
          <w:sz w:val="20"/>
          <w:szCs w:val="20"/>
          <w:lang w:val="en-GB"/>
        </w:rPr>
        <w:t>’</w:t>
      </w:r>
      <w:r w:rsidRPr="00A50179">
        <w:rPr>
          <w:rFonts w:ascii="Verdana" w:eastAsiaTheme="minorHAnsi" w:hAnsi="Verdana" w:cs="Frutiger-Bold"/>
          <w:b/>
          <w:bCs/>
          <w:i w:val="0"/>
          <w:color w:val="95B3D7" w:themeColor="accent1" w:themeTint="99"/>
          <w:sz w:val="20"/>
          <w:szCs w:val="20"/>
          <w:lang w:val="en-GB"/>
        </w:rPr>
        <w:t xml:space="preserve"> shares</w:t>
      </w:r>
    </w:p>
    <w:p w:rsidR="00524122" w:rsidRPr="00524122" w:rsidRDefault="00A50179" w:rsidP="00524122">
      <w:pPr>
        <w:rPr>
          <w:lang w:val="en-GB" w:eastAsia="da-DK"/>
        </w:rPr>
      </w:pPr>
      <w:r w:rsidRPr="00A50179">
        <w:rPr>
          <w:noProof/>
          <w:lang w:val="da-DK" w:eastAsia="da-DK"/>
        </w:rPr>
        <w:drawing>
          <wp:inline distT="0" distB="0" distL="0" distR="0" wp14:anchorId="058BAEB5" wp14:editId="5AB9F646">
            <wp:extent cx="6300470" cy="13259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470" cy="1325901"/>
                    </a:xfrm>
                    <a:prstGeom prst="rect">
                      <a:avLst/>
                    </a:prstGeom>
                    <a:noFill/>
                    <a:ln>
                      <a:noFill/>
                    </a:ln>
                  </pic:spPr>
                </pic:pic>
              </a:graphicData>
            </a:graphic>
          </wp:inline>
        </w:drawing>
      </w:r>
    </w:p>
    <w:p w:rsidR="00AB227B" w:rsidRPr="00AB227B" w:rsidRDefault="00AB227B" w:rsidP="00AB227B">
      <w:pPr>
        <w:rPr>
          <w:lang w:val="en-GB" w:eastAsia="da-DK"/>
        </w:rPr>
      </w:pPr>
    </w:p>
    <w:p w:rsidR="00D23D11" w:rsidRDefault="00D23D11">
      <w:pPr>
        <w:rPr>
          <w:rFonts w:ascii="Verdana" w:eastAsiaTheme="majorEastAsia" w:hAnsi="Verdana" w:cstheme="majorBidi"/>
          <w:b/>
          <w:bCs/>
          <w:color w:val="17365D" w:themeColor="text2" w:themeShade="BF"/>
          <w:sz w:val="40"/>
          <w:szCs w:val="20"/>
          <w:lang w:val="en-GB" w:eastAsia="da-DK"/>
        </w:rPr>
      </w:pPr>
      <w:bookmarkStart w:id="49" w:name="_Toc320195193"/>
      <w:r>
        <w:rPr>
          <w:rFonts w:ascii="Verdana" w:hAnsi="Verdana"/>
          <w:color w:val="17365D" w:themeColor="text2" w:themeShade="BF"/>
          <w:sz w:val="40"/>
          <w:szCs w:val="20"/>
          <w:lang w:val="en-GB"/>
        </w:rPr>
        <w:br w:type="page"/>
      </w:r>
    </w:p>
    <w:p w:rsidR="000913ED" w:rsidRPr="003874B8" w:rsidRDefault="000913ED" w:rsidP="000913ED">
      <w:pPr>
        <w:pStyle w:val="Heading1"/>
        <w:rPr>
          <w:rFonts w:ascii="Verdana" w:hAnsi="Verdana"/>
          <w:color w:val="17365D" w:themeColor="text2" w:themeShade="BF"/>
          <w:sz w:val="40"/>
          <w:szCs w:val="20"/>
          <w:lang w:val="en-GB"/>
        </w:rPr>
      </w:pPr>
      <w:r w:rsidRPr="003874B8">
        <w:rPr>
          <w:rFonts w:ascii="Verdana" w:hAnsi="Verdana"/>
          <w:color w:val="17365D" w:themeColor="text2" w:themeShade="BF"/>
          <w:sz w:val="40"/>
          <w:szCs w:val="20"/>
          <w:lang w:val="en-GB"/>
        </w:rPr>
        <w:lastRenderedPageBreak/>
        <w:t>Management Statement</w:t>
      </w:r>
      <w:bookmarkEnd w:id="49"/>
    </w:p>
    <w:p w:rsidR="000913ED" w:rsidRDefault="000913ED" w:rsidP="000913ED">
      <w:pPr>
        <w:rPr>
          <w:lang w:val="en-GB" w:eastAsia="da-DK"/>
        </w:rPr>
      </w:pPr>
    </w:p>
    <w:p w:rsidR="000913ED" w:rsidRPr="00595E4C" w:rsidRDefault="000913ED" w:rsidP="000913ED">
      <w:pPr>
        <w:rPr>
          <w:lang w:val="en-GB" w:eastAsia="da-DK"/>
        </w:rPr>
      </w:pPr>
    </w:p>
    <w:p w:rsidR="000913ED" w:rsidRPr="00EF3F29" w:rsidRDefault="000913ED" w:rsidP="000913ED">
      <w:pPr>
        <w:jc w:val="both"/>
        <w:rPr>
          <w:rFonts w:ascii="Verdana" w:hAnsi="Verdana"/>
          <w:sz w:val="20"/>
          <w:szCs w:val="20"/>
          <w:lang w:val="en-GB"/>
        </w:rPr>
      </w:pPr>
      <w:r w:rsidRPr="00EF3F29">
        <w:rPr>
          <w:rFonts w:ascii="Verdana" w:hAnsi="Verdana"/>
          <w:sz w:val="20"/>
          <w:szCs w:val="20"/>
          <w:lang w:val="en-GB"/>
        </w:rPr>
        <w:t xml:space="preserve">We have today considered and approved the annual report of Nordic </w:t>
      </w:r>
      <w:r>
        <w:rPr>
          <w:rFonts w:ascii="Verdana" w:hAnsi="Verdana"/>
          <w:sz w:val="20"/>
          <w:szCs w:val="20"/>
          <w:lang w:val="en-GB"/>
        </w:rPr>
        <w:t>Shipholding</w:t>
      </w:r>
      <w:r w:rsidRPr="00EF3F29">
        <w:rPr>
          <w:rFonts w:ascii="Verdana" w:hAnsi="Verdana"/>
          <w:sz w:val="20"/>
          <w:szCs w:val="20"/>
          <w:lang w:val="en-GB"/>
        </w:rPr>
        <w:t xml:space="preserve"> A/S for the financial year 1 January – 31 December 201</w:t>
      </w:r>
      <w:r w:rsidR="00935297">
        <w:rPr>
          <w:rFonts w:ascii="Verdana" w:hAnsi="Verdana"/>
          <w:sz w:val="20"/>
          <w:szCs w:val="20"/>
          <w:lang w:val="en-GB"/>
        </w:rPr>
        <w:t>3</w:t>
      </w:r>
      <w:r w:rsidRPr="00EF3F29">
        <w:rPr>
          <w:rFonts w:ascii="Verdana" w:hAnsi="Verdana"/>
          <w:sz w:val="20"/>
          <w:szCs w:val="20"/>
          <w:lang w:val="en-GB"/>
        </w:rPr>
        <w:t>.</w:t>
      </w:r>
    </w:p>
    <w:p w:rsidR="000913ED" w:rsidRPr="00EF3F29" w:rsidRDefault="000913ED" w:rsidP="000913ED">
      <w:pPr>
        <w:jc w:val="both"/>
        <w:rPr>
          <w:rFonts w:ascii="Verdana" w:hAnsi="Verdana"/>
          <w:sz w:val="20"/>
          <w:szCs w:val="20"/>
          <w:lang w:val="en-GB"/>
        </w:rPr>
      </w:pPr>
      <w:r w:rsidRPr="00EF3F29">
        <w:rPr>
          <w:rFonts w:ascii="Verdana" w:hAnsi="Verdana"/>
          <w:sz w:val="20"/>
          <w:szCs w:val="20"/>
          <w:lang w:val="en-GB"/>
        </w:rPr>
        <w:t xml:space="preserve">The annual report has been prepared in accordance with International Financial Reporting Standards as adopted by the EU and additional Danish disclosure requirements for listed companies. </w:t>
      </w:r>
    </w:p>
    <w:p w:rsidR="000913ED" w:rsidRPr="00C84D1B" w:rsidRDefault="000913ED" w:rsidP="000913ED">
      <w:pPr>
        <w:jc w:val="both"/>
        <w:rPr>
          <w:rFonts w:ascii="Verdana" w:hAnsi="Verdana"/>
          <w:sz w:val="20"/>
          <w:szCs w:val="20"/>
          <w:lang w:val="en-GB"/>
        </w:rPr>
      </w:pPr>
      <w:r w:rsidRPr="00EF3F29">
        <w:rPr>
          <w:rFonts w:ascii="Verdana" w:hAnsi="Verdana"/>
          <w:sz w:val="20"/>
          <w:szCs w:val="20"/>
          <w:lang w:val="en-GB"/>
        </w:rPr>
        <w:t xml:space="preserve">In our opinion, the </w:t>
      </w:r>
      <w:r w:rsidRPr="00C84D1B">
        <w:rPr>
          <w:rFonts w:ascii="Verdana" w:hAnsi="Verdana"/>
          <w:sz w:val="20"/>
          <w:szCs w:val="20"/>
          <w:lang w:val="en-GB"/>
        </w:rPr>
        <w:t>consolidated f</w:t>
      </w:r>
      <w:r w:rsidR="004E4A0C" w:rsidRPr="00C84D1B">
        <w:rPr>
          <w:rFonts w:ascii="Verdana" w:hAnsi="Verdana"/>
          <w:sz w:val="20"/>
          <w:szCs w:val="20"/>
          <w:lang w:val="en-GB"/>
        </w:rPr>
        <w:t>inancial statements and C</w:t>
      </w:r>
      <w:r w:rsidRPr="00C84D1B">
        <w:rPr>
          <w:rFonts w:ascii="Verdana" w:hAnsi="Verdana"/>
          <w:sz w:val="20"/>
          <w:szCs w:val="20"/>
          <w:lang w:val="en-GB"/>
        </w:rPr>
        <w:t>ompany</w:t>
      </w:r>
      <w:r w:rsidR="004E4A0C" w:rsidRPr="00C84D1B">
        <w:rPr>
          <w:rFonts w:ascii="Verdana" w:hAnsi="Verdana"/>
          <w:sz w:val="20"/>
          <w:szCs w:val="20"/>
          <w:lang w:val="en-GB"/>
        </w:rPr>
        <w:t>’s</w:t>
      </w:r>
      <w:r w:rsidRPr="00C84D1B">
        <w:rPr>
          <w:rFonts w:ascii="Verdana" w:hAnsi="Verdana"/>
          <w:sz w:val="20"/>
          <w:szCs w:val="20"/>
          <w:lang w:val="en-GB"/>
        </w:rPr>
        <w:t xml:space="preserve"> financial statements give a true and fair view of the Group’s and the </w:t>
      </w:r>
      <w:r w:rsidR="004E4A0C" w:rsidRPr="00C84D1B">
        <w:rPr>
          <w:rFonts w:ascii="Verdana" w:hAnsi="Verdana"/>
          <w:sz w:val="20"/>
          <w:szCs w:val="20"/>
          <w:lang w:val="en-GB"/>
        </w:rPr>
        <w:t>Company</w:t>
      </w:r>
      <w:r w:rsidRPr="00C84D1B">
        <w:rPr>
          <w:rFonts w:ascii="Verdana" w:hAnsi="Verdana"/>
          <w:sz w:val="20"/>
          <w:szCs w:val="20"/>
          <w:lang w:val="en-GB"/>
        </w:rPr>
        <w:t>’s financial position at 31 December 201</w:t>
      </w:r>
      <w:r w:rsidR="00935297" w:rsidRPr="00C84D1B">
        <w:rPr>
          <w:rFonts w:ascii="Verdana" w:hAnsi="Verdana"/>
          <w:sz w:val="20"/>
          <w:szCs w:val="20"/>
          <w:lang w:val="en-GB"/>
        </w:rPr>
        <w:t>3</w:t>
      </w:r>
      <w:r w:rsidRPr="00C84D1B">
        <w:rPr>
          <w:rFonts w:ascii="Verdana" w:hAnsi="Verdana"/>
          <w:sz w:val="20"/>
          <w:szCs w:val="20"/>
          <w:lang w:val="en-GB"/>
        </w:rPr>
        <w:t xml:space="preserve"> and of their financial performance and their cash flows for the financial year 1 January – 31 December 201</w:t>
      </w:r>
      <w:r w:rsidR="00935297" w:rsidRPr="00C84D1B">
        <w:rPr>
          <w:rFonts w:ascii="Verdana" w:hAnsi="Verdana"/>
          <w:sz w:val="20"/>
          <w:szCs w:val="20"/>
          <w:lang w:val="en-GB"/>
        </w:rPr>
        <w:t>3</w:t>
      </w:r>
      <w:r w:rsidRPr="00C84D1B">
        <w:rPr>
          <w:rFonts w:ascii="Verdana" w:hAnsi="Verdana"/>
          <w:sz w:val="20"/>
          <w:szCs w:val="20"/>
          <w:lang w:val="en-GB"/>
        </w:rPr>
        <w:t>.</w:t>
      </w:r>
    </w:p>
    <w:p w:rsidR="000913ED" w:rsidRDefault="000913ED" w:rsidP="000913ED">
      <w:pPr>
        <w:jc w:val="both"/>
        <w:rPr>
          <w:rFonts w:ascii="Verdana" w:hAnsi="Verdana"/>
          <w:sz w:val="20"/>
          <w:szCs w:val="20"/>
          <w:lang w:val="en-GB"/>
        </w:rPr>
      </w:pPr>
      <w:r w:rsidRPr="00C84D1B">
        <w:rPr>
          <w:rFonts w:ascii="Verdana" w:hAnsi="Verdana"/>
          <w:sz w:val="20"/>
          <w:szCs w:val="20"/>
          <w:lang w:val="en-GB"/>
        </w:rPr>
        <w:t>Further</w:t>
      </w:r>
      <w:r w:rsidR="00181111" w:rsidRPr="00C84D1B">
        <w:rPr>
          <w:rFonts w:ascii="Verdana" w:hAnsi="Verdana"/>
          <w:sz w:val="20"/>
          <w:szCs w:val="20"/>
          <w:lang w:val="en-GB"/>
        </w:rPr>
        <w:t>more</w:t>
      </w:r>
      <w:r w:rsidRPr="00C84D1B">
        <w:rPr>
          <w:rFonts w:ascii="Verdana" w:hAnsi="Verdana"/>
          <w:sz w:val="20"/>
          <w:szCs w:val="20"/>
          <w:lang w:val="en-GB"/>
        </w:rPr>
        <w:t xml:space="preserve">, in our opinion the management review gives a true and fair review of the development in </w:t>
      </w:r>
      <w:r w:rsidR="00D8216D" w:rsidRPr="00C84D1B">
        <w:rPr>
          <w:rFonts w:ascii="Verdana" w:hAnsi="Verdana"/>
          <w:sz w:val="20"/>
          <w:szCs w:val="20"/>
          <w:lang w:val="en-GB"/>
        </w:rPr>
        <w:t xml:space="preserve">the Group’s and the </w:t>
      </w:r>
      <w:r w:rsidR="004E4A0C" w:rsidRPr="00C84D1B">
        <w:rPr>
          <w:rFonts w:ascii="Verdana" w:hAnsi="Verdana"/>
          <w:sz w:val="20"/>
          <w:szCs w:val="20"/>
          <w:lang w:val="en-GB"/>
        </w:rPr>
        <w:t>Company</w:t>
      </w:r>
      <w:r w:rsidRPr="00C84D1B">
        <w:rPr>
          <w:rFonts w:ascii="Verdana" w:hAnsi="Verdana"/>
          <w:sz w:val="20"/>
          <w:szCs w:val="20"/>
          <w:lang w:val="en-GB"/>
        </w:rPr>
        <w:t>’s operations and financial matt</w:t>
      </w:r>
      <w:r w:rsidRPr="00EF3F29">
        <w:rPr>
          <w:rFonts w:ascii="Verdana" w:hAnsi="Verdana"/>
          <w:sz w:val="20"/>
          <w:szCs w:val="20"/>
          <w:lang w:val="en-GB"/>
        </w:rPr>
        <w:t xml:space="preserve">ers, the results of the Group and the </w:t>
      </w:r>
      <w:r w:rsidR="004E4A0C">
        <w:rPr>
          <w:rFonts w:ascii="Verdana" w:hAnsi="Verdana"/>
          <w:sz w:val="20"/>
          <w:szCs w:val="20"/>
          <w:lang w:val="en-GB"/>
        </w:rPr>
        <w:t>Company</w:t>
      </w:r>
      <w:r w:rsidRPr="00EF3F29">
        <w:rPr>
          <w:rFonts w:ascii="Verdana" w:hAnsi="Verdana"/>
          <w:sz w:val="20"/>
          <w:szCs w:val="20"/>
          <w:lang w:val="en-GB"/>
        </w:rPr>
        <w:t xml:space="preserve"> for the year and the financial position as a whole, and describes the significant risks and uncertainties facing </w:t>
      </w:r>
      <w:r w:rsidRPr="006C0D89">
        <w:rPr>
          <w:rFonts w:ascii="Verdana" w:hAnsi="Verdana"/>
          <w:sz w:val="20"/>
          <w:szCs w:val="20"/>
          <w:lang w:val="en-GB"/>
        </w:rPr>
        <w:t xml:space="preserve">the Group and the </w:t>
      </w:r>
      <w:r w:rsidR="004E4A0C" w:rsidRPr="006C0D89">
        <w:rPr>
          <w:rFonts w:ascii="Verdana" w:hAnsi="Verdana"/>
          <w:sz w:val="20"/>
          <w:szCs w:val="20"/>
          <w:lang w:val="en-GB"/>
        </w:rPr>
        <w:t>Company</w:t>
      </w:r>
      <w:r w:rsidRPr="006C0D89">
        <w:rPr>
          <w:rFonts w:ascii="Verdana" w:hAnsi="Verdana"/>
          <w:sz w:val="20"/>
          <w:szCs w:val="20"/>
          <w:lang w:val="en-GB"/>
        </w:rPr>
        <w:t>.</w:t>
      </w:r>
    </w:p>
    <w:p w:rsidR="000913ED" w:rsidRPr="00EF3F29" w:rsidRDefault="000913ED" w:rsidP="000913ED">
      <w:pPr>
        <w:jc w:val="both"/>
        <w:rPr>
          <w:rFonts w:ascii="Verdana" w:hAnsi="Verdana"/>
          <w:sz w:val="20"/>
          <w:szCs w:val="20"/>
          <w:lang w:val="en-GB"/>
        </w:rPr>
      </w:pPr>
      <w:r w:rsidRPr="00EF3F29">
        <w:rPr>
          <w:rFonts w:ascii="Verdana" w:hAnsi="Verdana"/>
          <w:sz w:val="20"/>
          <w:szCs w:val="20"/>
          <w:lang w:val="en-GB"/>
        </w:rPr>
        <w:t>We recommend that the annual report be adopted at the Annual General Meeting.</w:t>
      </w:r>
    </w:p>
    <w:p w:rsidR="000913ED" w:rsidRDefault="00935297" w:rsidP="000913ED">
      <w:pPr>
        <w:jc w:val="both"/>
        <w:rPr>
          <w:rFonts w:ascii="Verdana" w:hAnsi="Verdana"/>
          <w:sz w:val="20"/>
          <w:szCs w:val="20"/>
          <w:lang w:val="en-GB"/>
        </w:rPr>
      </w:pPr>
      <w:r>
        <w:rPr>
          <w:rFonts w:ascii="Verdana" w:hAnsi="Verdana"/>
          <w:sz w:val="20"/>
          <w:szCs w:val="20"/>
          <w:lang w:val="en-GB"/>
        </w:rPr>
        <w:t>Copenhagen, 11</w:t>
      </w:r>
      <w:r w:rsidR="000913ED" w:rsidRPr="00EF3F29">
        <w:rPr>
          <w:rFonts w:ascii="Verdana" w:hAnsi="Verdana"/>
          <w:sz w:val="20"/>
          <w:szCs w:val="20"/>
          <w:lang w:val="en-GB"/>
        </w:rPr>
        <w:t xml:space="preserve"> March 201</w:t>
      </w:r>
      <w:r>
        <w:rPr>
          <w:rFonts w:ascii="Verdana" w:hAnsi="Verdana"/>
          <w:sz w:val="20"/>
          <w:szCs w:val="20"/>
          <w:lang w:val="en-GB"/>
        </w:rPr>
        <w:t>4</w:t>
      </w:r>
    </w:p>
    <w:p w:rsidR="00D133B5" w:rsidRPr="00EF3F29" w:rsidRDefault="00D133B5" w:rsidP="000913ED">
      <w:pPr>
        <w:jc w:val="both"/>
        <w:rPr>
          <w:rFonts w:ascii="Verdana" w:hAnsi="Verdana"/>
          <w:sz w:val="20"/>
          <w:szCs w:val="20"/>
          <w:lang w:val="en-GB"/>
        </w:rPr>
      </w:pPr>
    </w:p>
    <w:p w:rsidR="000913ED" w:rsidRPr="001F004F" w:rsidRDefault="000913ED" w:rsidP="00D133B5">
      <w:pPr>
        <w:pStyle w:val="Subtitle"/>
        <w:spacing w:before="120"/>
        <w:jc w:val="both"/>
        <w:rPr>
          <w:rFonts w:ascii="Verdana" w:eastAsiaTheme="minorHAnsi" w:hAnsi="Verdana" w:cs="Frutiger-Bold"/>
          <w:b/>
          <w:bCs/>
          <w:i w:val="0"/>
          <w:iCs w:val="0"/>
          <w:color w:val="auto"/>
          <w:spacing w:val="0"/>
          <w:sz w:val="20"/>
          <w:szCs w:val="20"/>
          <w:lang w:val="en-GB"/>
        </w:rPr>
      </w:pPr>
      <w:r>
        <w:rPr>
          <w:rFonts w:ascii="Verdana" w:eastAsiaTheme="minorHAnsi" w:hAnsi="Verdana" w:cs="Frutiger-Bold"/>
          <w:b/>
          <w:bCs/>
          <w:i w:val="0"/>
          <w:iCs w:val="0"/>
          <w:color w:val="auto"/>
          <w:spacing w:val="0"/>
          <w:sz w:val="20"/>
          <w:szCs w:val="20"/>
          <w:lang w:val="en-GB"/>
        </w:rPr>
        <w:t>Executive Board</w:t>
      </w:r>
    </w:p>
    <w:p w:rsidR="000913ED" w:rsidRPr="00EF3F29" w:rsidRDefault="00935297" w:rsidP="000913ED">
      <w:pPr>
        <w:spacing w:after="0"/>
        <w:jc w:val="both"/>
        <w:rPr>
          <w:rFonts w:ascii="Verdana" w:hAnsi="Verdana"/>
          <w:sz w:val="20"/>
          <w:szCs w:val="20"/>
          <w:lang w:val="en-GB"/>
        </w:rPr>
      </w:pPr>
      <w:r>
        <w:rPr>
          <w:rFonts w:ascii="Verdana" w:hAnsi="Verdana"/>
          <w:sz w:val="20"/>
          <w:szCs w:val="20"/>
          <w:lang w:val="en-GB"/>
        </w:rPr>
        <w:t>Philip Clausius</w:t>
      </w:r>
      <w:r w:rsidR="000913ED" w:rsidRPr="00EF3F29">
        <w:rPr>
          <w:rFonts w:ascii="Verdana" w:hAnsi="Verdana"/>
          <w:sz w:val="20"/>
          <w:szCs w:val="20"/>
          <w:lang w:val="en-GB"/>
        </w:rPr>
        <w:tab/>
      </w:r>
    </w:p>
    <w:p w:rsidR="000913ED" w:rsidRDefault="000913ED" w:rsidP="000913ED">
      <w:pPr>
        <w:jc w:val="both"/>
        <w:rPr>
          <w:rFonts w:ascii="Verdana" w:hAnsi="Verdana"/>
          <w:sz w:val="20"/>
          <w:szCs w:val="20"/>
          <w:lang w:val="en-GB"/>
        </w:rPr>
      </w:pPr>
      <w:r w:rsidRPr="00EF3F29">
        <w:rPr>
          <w:rFonts w:ascii="Verdana" w:hAnsi="Verdana"/>
          <w:sz w:val="20"/>
          <w:szCs w:val="20"/>
          <w:lang w:val="en-GB"/>
        </w:rPr>
        <w:t>CEO</w:t>
      </w:r>
      <w:r w:rsidRPr="00EF3F29">
        <w:rPr>
          <w:rFonts w:ascii="Verdana" w:hAnsi="Verdana"/>
          <w:sz w:val="20"/>
          <w:szCs w:val="20"/>
          <w:lang w:val="en-GB"/>
        </w:rPr>
        <w:tab/>
      </w:r>
      <w:r w:rsidRPr="00EF3F29">
        <w:rPr>
          <w:rFonts w:ascii="Verdana" w:hAnsi="Verdana"/>
          <w:sz w:val="20"/>
          <w:szCs w:val="20"/>
          <w:lang w:val="en-GB"/>
        </w:rPr>
        <w:tab/>
      </w:r>
    </w:p>
    <w:p w:rsidR="000913ED" w:rsidRPr="00EF3F29" w:rsidRDefault="000913ED" w:rsidP="000913ED">
      <w:pPr>
        <w:jc w:val="both"/>
        <w:rPr>
          <w:rFonts w:ascii="Verdana" w:hAnsi="Verdana"/>
          <w:sz w:val="20"/>
          <w:szCs w:val="20"/>
          <w:lang w:val="en-GB"/>
        </w:rPr>
      </w:pPr>
    </w:p>
    <w:p w:rsidR="000913ED" w:rsidRPr="00EF3F29" w:rsidRDefault="000913ED" w:rsidP="00D133B5">
      <w:pPr>
        <w:pStyle w:val="Subtitle"/>
        <w:spacing w:before="120"/>
        <w:jc w:val="both"/>
        <w:rPr>
          <w:rFonts w:ascii="Verdana" w:eastAsiaTheme="minorHAnsi" w:hAnsi="Verdana" w:cs="Frutiger-Bold"/>
          <w:b/>
          <w:bCs/>
          <w:i w:val="0"/>
          <w:iCs w:val="0"/>
          <w:color w:val="auto"/>
          <w:spacing w:val="0"/>
          <w:sz w:val="20"/>
          <w:szCs w:val="20"/>
          <w:lang w:val="en-GB"/>
        </w:rPr>
      </w:pPr>
      <w:r w:rsidRPr="00EF3F29">
        <w:rPr>
          <w:rFonts w:ascii="Verdana" w:eastAsiaTheme="minorHAnsi" w:hAnsi="Verdana" w:cs="Frutiger-Bold"/>
          <w:b/>
          <w:bCs/>
          <w:i w:val="0"/>
          <w:iCs w:val="0"/>
          <w:color w:val="auto"/>
          <w:spacing w:val="0"/>
          <w:sz w:val="20"/>
          <w:szCs w:val="20"/>
          <w:lang w:val="en-GB"/>
        </w:rPr>
        <w:t>Board of Directors</w:t>
      </w:r>
    </w:p>
    <w:p w:rsidR="000913ED" w:rsidRPr="00EF3F29" w:rsidRDefault="000913ED" w:rsidP="000913ED">
      <w:pPr>
        <w:spacing w:after="0"/>
        <w:jc w:val="both"/>
        <w:rPr>
          <w:rFonts w:ascii="Verdana" w:hAnsi="Verdana"/>
          <w:sz w:val="20"/>
          <w:szCs w:val="20"/>
          <w:lang w:val="en-GB"/>
        </w:rPr>
      </w:pPr>
      <w:r w:rsidRPr="00EF3F29">
        <w:rPr>
          <w:rFonts w:ascii="Verdana" w:hAnsi="Verdana"/>
          <w:sz w:val="20"/>
          <w:szCs w:val="20"/>
          <w:lang w:val="en-GB"/>
        </w:rPr>
        <w:t>Knud Pontoppidan</w:t>
      </w:r>
      <w:r w:rsidRPr="00EF3F29">
        <w:rPr>
          <w:rFonts w:ascii="Verdana" w:hAnsi="Verdana"/>
          <w:sz w:val="20"/>
          <w:szCs w:val="20"/>
          <w:lang w:val="en-GB"/>
        </w:rPr>
        <w:tab/>
      </w:r>
      <w:r w:rsidRPr="00EF3F29">
        <w:rPr>
          <w:rFonts w:ascii="Verdana" w:hAnsi="Verdana"/>
          <w:sz w:val="20"/>
          <w:szCs w:val="20"/>
          <w:lang w:val="en-GB"/>
        </w:rPr>
        <w:tab/>
      </w:r>
      <w:r w:rsidR="00D133B5">
        <w:rPr>
          <w:rFonts w:ascii="Verdana" w:hAnsi="Verdana"/>
          <w:sz w:val="20"/>
          <w:szCs w:val="20"/>
          <w:lang w:val="en-GB"/>
        </w:rPr>
        <w:tab/>
      </w:r>
      <w:r w:rsidR="00D133B5">
        <w:rPr>
          <w:rFonts w:ascii="Verdana" w:hAnsi="Verdana"/>
          <w:sz w:val="20"/>
          <w:szCs w:val="20"/>
          <w:lang w:val="en-GB"/>
        </w:rPr>
        <w:tab/>
      </w:r>
      <w:r w:rsidR="00935297">
        <w:rPr>
          <w:rFonts w:ascii="Verdana" w:hAnsi="Verdana"/>
          <w:sz w:val="20"/>
          <w:szCs w:val="20"/>
          <w:lang w:val="en-GB"/>
        </w:rPr>
        <w:t>Jon Robert Lewis</w:t>
      </w:r>
    </w:p>
    <w:p w:rsidR="000913ED" w:rsidRPr="00EF3F29" w:rsidRDefault="000913ED" w:rsidP="000913ED">
      <w:pPr>
        <w:jc w:val="both"/>
        <w:rPr>
          <w:rFonts w:ascii="Verdana" w:hAnsi="Verdana"/>
          <w:sz w:val="20"/>
          <w:szCs w:val="20"/>
          <w:lang w:val="en-GB"/>
        </w:rPr>
      </w:pPr>
      <w:r w:rsidRPr="00EF3F29">
        <w:rPr>
          <w:rFonts w:ascii="Verdana" w:hAnsi="Verdana"/>
          <w:sz w:val="20"/>
          <w:szCs w:val="20"/>
          <w:lang w:val="en-GB"/>
        </w:rPr>
        <w:t>Chairman of the Board of Directors</w:t>
      </w:r>
      <w:r w:rsidRPr="00EF3F29">
        <w:rPr>
          <w:rFonts w:ascii="Verdana" w:hAnsi="Verdana"/>
          <w:sz w:val="20"/>
          <w:szCs w:val="20"/>
          <w:lang w:val="en-GB"/>
        </w:rPr>
        <w:tab/>
      </w:r>
      <w:r w:rsidR="00D133B5">
        <w:rPr>
          <w:rFonts w:ascii="Verdana" w:hAnsi="Verdana"/>
          <w:sz w:val="20"/>
          <w:szCs w:val="20"/>
          <w:lang w:val="en-GB"/>
        </w:rPr>
        <w:tab/>
      </w:r>
      <w:r w:rsidRPr="00EF3F29">
        <w:rPr>
          <w:rFonts w:ascii="Verdana" w:hAnsi="Verdana"/>
          <w:sz w:val="20"/>
          <w:szCs w:val="20"/>
          <w:lang w:val="en-GB"/>
        </w:rPr>
        <w:t>Deputy Chairman of the Board of Directors</w:t>
      </w:r>
    </w:p>
    <w:p w:rsidR="000913ED" w:rsidRPr="00EF3F29" w:rsidRDefault="000913ED" w:rsidP="000913ED">
      <w:pPr>
        <w:jc w:val="both"/>
        <w:rPr>
          <w:rFonts w:ascii="Verdana" w:hAnsi="Verdana"/>
          <w:sz w:val="20"/>
          <w:szCs w:val="20"/>
          <w:lang w:val="en-GB"/>
        </w:rPr>
      </w:pPr>
    </w:p>
    <w:p w:rsidR="000913ED" w:rsidRPr="00D133B5" w:rsidRDefault="00935297" w:rsidP="000913ED">
      <w:pPr>
        <w:jc w:val="both"/>
        <w:rPr>
          <w:rFonts w:ascii="Verdana" w:hAnsi="Verdana"/>
          <w:sz w:val="20"/>
          <w:szCs w:val="20"/>
          <w:lang w:val="da-DK"/>
        </w:rPr>
      </w:pPr>
      <w:r w:rsidRPr="00D133B5">
        <w:rPr>
          <w:rFonts w:ascii="Verdana" w:hAnsi="Verdana"/>
          <w:sz w:val="20"/>
          <w:szCs w:val="20"/>
          <w:lang w:val="da-DK"/>
        </w:rPr>
        <w:t>Kristian V. Mørch</w:t>
      </w:r>
      <w:r w:rsidR="000913ED" w:rsidRPr="00D133B5">
        <w:rPr>
          <w:rFonts w:ascii="Verdana" w:hAnsi="Verdana"/>
          <w:sz w:val="20"/>
          <w:szCs w:val="20"/>
          <w:lang w:val="da-DK"/>
        </w:rPr>
        <w:tab/>
      </w:r>
      <w:r w:rsidR="000913ED" w:rsidRPr="00D133B5">
        <w:rPr>
          <w:rFonts w:ascii="Verdana" w:hAnsi="Verdana"/>
          <w:sz w:val="20"/>
          <w:szCs w:val="20"/>
          <w:lang w:val="da-DK"/>
        </w:rPr>
        <w:tab/>
      </w:r>
      <w:r w:rsidR="00D133B5" w:rsidRPr="00D133B5">
        <w:rPr>
          <w:rFonts w:ascii="Verdana" w:hAnsi="Verdana"/>
          <w:sz w:val="20"/>
          <w:szCs w:val="20"/>
          <w:lang w:val="da-DK"/>
        </w:rPr>
        <w:tab/>
      </w:r>
      <w:r>
        <w:rPr>
          <w:rFonts w:ascii="Verdana" w:hAnsi="Verdana"/>
          <w:sz w:val="20"/>
          <w:szCs w:val="20"/>
          <w:lang w:val="da-DK"/>
        </w:rPr>
        <w:t xml:space="preserve">          Anil Kumar Gorthy</w:t>
      </w:r>
    </w:p>
    <w:p w:rsidR="000913ED" w:rsidRPr="00D133B5" w:rsidRDefault="000913ED" w:rsidP="000913ED">
      <w:pPr>
        <w:jc w:val="both"/>
        <w:rPr>
          <w:rFonts w:ascii="Verdana" w:hAnsi="Verdana"/>
          <w:sz w:val="20"/>
          <w:szCs w:val="20"/>
          <w:lang w:val="da-DK"/>
        </w:rPr>
      </w:pPr>
    </w:p>
    <w:p w:rsidR="00935297" w:rsidRPr="00EF3F29" w:rsidRDefault="00935297" w:rsidP="00935297">
      <w:pPr>
        <w:spacing w:after="0"/>
        <w:jc w:val="both"/>
        <w:rPr>
          <w:rFonts w:ascii="Verdana" w:hAnsi="Verdana"/>
          <w:sz w:val="20"/>
          <w:szCs w:val="20"/>
          <w:lang w:val="en-GB"/>
        </w:rPr>
      </w:pPr>
      <w:r>
        <w:rPr>
          <w:rFonts w:ascii="Verdana" w:hAnsi="Verdana"/>
          <w:sz w:val="20"/>
          <w:szCs w:val="20"/>
          <w:lang w:val="en-GB"/>
        </w:rPr>
        <w:t>Philip Clausius</w:t>
      </w:r>
      <w:r w:rsidRPr="00EF3F29">
        <w:rPr>
          <w:rFonts w:ascii="Verdana" w:hAnsi="Verdana"/>
          <w:sz w:val="20"/>
          <w:szCs w:val="20"/>
          <w:lang w:val="en-GB"/>
        </w:rPr>
        <w:tab/>
      </w:r>
    </w:p>
    <w:p w:rsidR="000913ED" w:rsidRDefault="000913ED">
      <w:pPr>
        <w:rPr>
          <w:lang w:val="en-GB"/>
        </w:rPr>
      </w:pPr>
      <w:r>
        <w:rPr>
          <w:lang w:val="en-GB"/>
        </w:rPr>
        <w:br w:type="page"/>
      </w:r>
    </w:p>
    <w:p w:rsidR="00D23D11" w:rsidRPr="003874B8" w:rsidRDefault="00D23D11" w:rsidP="00D23D11">
      <w:pPr>
        <w:pStyle w:val="Heading1"/>
        <w:rPr>
          <w:rFonts w:ascii="Verdana" w:hAnsi="Verdana"/>
          <w:color w:val="17365D" w:themeColor="text2" w:themeShade="BF"/>
          <w:sz w:val="40"/>
          <w:szCs w:val="20"/>
          <w:lang w:val="en-GB"/>
        </w:rPr>
      </w:pPr>
      <w:r w:rsidRPr="003874B8">
        <w:rPr>
          <w:rFonts w:ascii="Verdana" w:hAnsi="Verdana"/>
          <w:color w:val="17365D" w:themeColor="text2" w:themeShade="BF"/>
          <w:sz w:val="40"/>
          <w:szCs w:val="20"/>
          <w:lang w:val="en-GB"/>
        </w:rPr>
        <w:lastRenderedPageBreak/>
        <w:t>Independent Auditor’s Report</w:t>
      </w:r>
    </w:p>
    <w:p w:rsidR="000F42A6" w:rsidRDefault="000F42A6">
      <w:pPr>
        <w:rPr>
          <w:lang w:val="en-GB"/>
        </w:rPr>
      </w:pPr>
    </w:p>
    <w:p w:rsidR="000F42A6" w:rsidRDefault="000F42A6">
      <w:pPr>
        <w:rPr>
          <w:lang w:val="en-GB"/>
        </w:rPr>
      </w:pPr>
    </w:p>
    <w:p w:rsidR="001647FF" w:rsidRPr="00BD2C69" w:rsidRDefault="001647FF" w:rsidP="001647FF">
      <w:pPr>
        <w:tabs>
          <w:tab w:val="left" w:pos="720"/>
          <w:tab w:val="left" w:pos="1264"/>
        </w:tabs>
        <w:spacing w:after="0"/>
        <w:jc w:val="both"/>
        <w:rPr>
          <w:rFonts w:ascii="Verdana" w:hAnsi="Verdana"/>
          <w:b/>
          <w:sz w:val="20"/>
          <w:szCs w:val="20"/>
        </w:rPr>
      </w:pPr>
      <w:r w:rsidRPr="00BD2C69">
        <w:rPr>
          <w:rFonts w:ascii="Verdana" w:hAnsi="Verdana"/>
          <w:b/>
          <w:sz w:val="20"/>
          <w:szCs w:val="20"/>
        </w:rPr>
        <w:t>To the Shareholders of Nordic Shipholding A/S</w:t>
      </w:r>
    </w:p>
    <w:p w:rsidR="001647FF" w:rsidRPr="00572F72" w:rsidRDefault="001647FF" w:rsidP="001647FF">
      <w:pPr>
        <w:tabs>
          <w:tab w:val="left" w:pos="720"/>
          <w:tab w:val="left" w:pos="1264"/>
        </w:tabs>
        <w:spacing w:after="0"/>
        <w:jc w:val="both"/>
        <w:rPr>
          <w:rFonts w:ascii="Verdana" w:hAnsi="Verdana"/>
          <w:sz w:val="20"/>
          <w:szCs w:val="20"/>
        </w:rPr>
      </w:pPr>
    </w:p>
    <w:p w:rsidR="001647FF" w:rsidRPr="00BD2C69" w:rsidRDefault="001647FF" w:rsidP="001647FF">
      <w:pPr>
        <w:tabs>
          <w:tab w:val="left" w:pos="720"/>
          <w:tab w:val="left" w:pos="1264"/>
        </w:tabs>
        <w:spacing w:after="0"/>
        <w:jc w:val="both"/>
        <w:rPr>
          <w:rFonts w:ascii="Verdana" w:hAnsi="Verdana"/>
          <w:b/>
          <w:sz w:val="20"/>
          <w:szCs w:val="20"/>
        </w:rPr>
      </w:pPr>
      <w:r w:rsidRPr="00BD2C69">
        <w:rPr>
          <w:rFonts w:ascii="Verdana" w:hAnsi="Verdana"/>
          <w:b/>
          <w:sz w:val="20"/>
          <w:szCs w:val="20"/>
        </w:rPr>
        <w:t>Report on Consolidated Financial Statements and Parent Company Financial Statements</w:t>
      </w:r>
    </w:p>
    <w:p w:rsidR="001647FF" w:rsidRPr="00572F72" w:rsidRDefault="001647FF" w:rsidP="001647FF">
      <w:pPr>
        <w:tabs>
          <w:tab w:val="left" w:pos="720"/>
          <w:tab w:val="left" w:pos="1264"/>
        </w:tabs>
        <w:spacing w:after="0"/>
        <w:jc w:val="both"/>
        <w:rPr>
          <w:rFonts w:ascii="Verdana" w:hAnsi="Verdana"/>
          <w:sz w:val="20"/>
          <w:szCs w:val="20"/>
        </w:rPr>
      </w:pPr>
      <w:r w:rsidRPr="00572F72">
        <w:rPr>
          <w:rFonts w:ascii="Verdana" w:hAnsi="Verdana"/>
          <w:sz w:val="20"/>
          <w:szCs w:val="20"/>
        </w:rPr>
        <w:t xml:space="preserve">We have audited the Consolidated Financial Statements and the Parent Company Financial Statements of Nordic Shipholding A/S for the financial year 1 January to 31 December 2013, which comprise statement of comprehensive income, statement of financial position, statement of changes in equity, statement </w:t>
      </w:r>
      <w:r w:rsidR="003A65D0">
        <w:rPr>
          <w:rFonts w:ascii="Verdana" w:hAnsi="Verdana"/>
          <w:sz w:val="20"/>
          <w:szCs w:val="20"/>
        </w:rPr>
        <w:t xml:space="preserve">of </w:t>
      </w:r>
      <w:r w:rsidRPr="00572F72">
        <w:rPr>
          <w:rFonts w:ascii="Verdana" w:hAnsi="Verdana"/>
          <w:sz w:val="20"/>
          <w:szCs w:val="20"/>
        </w:rPr>
        <w:t>cash flow and notes, including summary of significant accounting policies, for the Group as well as for the Parent Company. The Consolidated Financial Statements and the Parent Company Financial Statements are prepared in accordance with International Financial Reporting Standards as adopted by the EU and Danish disclosure requirements for listed companies.</w:t>
      </w:r>
    </w:p>
    <w:p w:rsidR="001647FF" w:rsidRPr="00EC03B9" w:rsidRDefault="001647FF" w:rsidP="001647FF">
      <w:pPr>
        <w:pStyle w:val="Afsnitsnr"/>
        <w:spacing w:after="0" w:line="290" w:lineRule="atLeast"/>
        <w:rPr>
          <w:sz w:val="18"/>
          <w:szCs w:val="18"/>
          <w:lang w:val="en-US"/>
        </w:rPr>
      </w:pPr>
    </w:p>
    <w:p w:rsidR="001647FF" w:rsidRPr="00572F72" w:rsidRDefault="001647FF" w:rsidP="001647FF">
      <w:pPr>
        <w:tabs>
          <w:tab w:val="left" w:pos="720"/>
          <w:tab w:val="left" w:pos="1264"/>
        </w:tabs>
        <w:spacing w:after="0"/>
        <w:jc w:val="both"/>
        <w:rPr>
          <w:rFonts w:ascii="Verdana" w:hAnsi="Verdana"/>
          <w:b/>
          <w:sz w:val="20"/>
          <w:szCs w:val="20"/>
        </w:rPr>
      </w:pPr>
      <w:r w:rsidRPr="00572F72">
        <w:rPr>
          <w:rFonts w:ascii="Verdana" w:hAnsi="Verdana"/>
          <w:b/>
          <w:sz w:val="20"/>
          <w:szCs w:val="20"/>
        </w:rPr>
        <w:t>Management’s Responsibility for the Consolidated Financial Statements and the Parent Company Financial Statements</w:t>
      </w:r>
    </w:p>
    <w:p w:rsidR="001647FF" w:rsidRPr="00572F72" w:rsidRDefault="001647FF" w:rsidP="001647FF">
      <w:pPr>
        <w:tabs>
          <w:tab w:val="left" w:pos="720"/>
          <w:tab w:val="left" w:pos="1264"/>
        </w:tabs>
        <w:spacing w:after="0"/>
        <w:jc w:val="both"/>
        <w:rPr>
          <w:rFonts w:ascii="Verdana" w:hAnsi="Verdana"/>
          <w:sz w:val="20"/>
          <w:szCs w:val="20"/>
        </w:rPr>
      </w:pPr>
      <w:r w:rsidRPr="00572F72">
        <w:rPr>
          <w:rFonts w:ascii="Verdana" w:hAnsi="Verdana"/>
          <w:sz w:val="20"/>
          <w:szCs w:val="20"/>
        </w:rPr>
        <w:t>Management is responsible for the preparation of Consolidated Financial Statements and Parent Company Financial Statements that give a true and fair view in accordance with International Financial Reporting Standards as adopted by the EU and Danish disclosure requirements for listed companies, and for such internal control as Management determines is necessary to enable the preparation of Consolidated Financial Statements and Parent Company Financial Statements that are free from material misstatement, whether due to fraud or error.</w:t>
      </w:r>
    </w:p>
    <w:p w:rsidR="001647FF" w:rsidRPr="00572F72" w:rsidRDefault="001647FF" w:rsidP="001647FF">
      <w:pPr>
        <w:tabs>
          <w:tab w:val="left" w:pos="720"/>
          <w:tab w:val="left" w:pos="1264"/>
        </w:tabs>
        <w:spacing w:after="0"/>
        <w:jc w:val="both"/>
        <w:rPr>
          <w:rFonts w:ascii="Verdana" w:hAnsi="Verdana"/>
          <w:sz w:val="20"/>
          <w:szCs w:val="20"/>
        </w:rPr>
      </w:pPr>
    </w:p>
    <w:p w:rsidR="001647FF" w:rsidRPr="00572F72" w:rsidRDefault="001647FF" w:rsidP="001647FF">
      <w:pPr>
        <w:tabs>
          <w:tab w:val="left" w:pos="720"/>
          <w:tab w:val="left" w:pos="1264"/>
        </w:tabs>
        <w:spacing w:after="0"/>
        <w:jc w:val="both"/>
        <w:rPr>
          <w:rFonts w:ascii="Verdana" w:hAnsi="Verdana"/>
          <w:b/>
          <w:sz w:val="20"/>
          <w:szCs w:val="20"/>
        </w:rPr>
      </w:pPr>
      <w:r w:rsidRPr="00572F72">
        <w:rPr>
          <w:rFonts w:ascii="Verdana" w:hAnsi="Verdana"/>
          <w:b/>
          <w:sz w:val="20"/>
          <w:szCs w:val="20"/>
        </w:rPr>
        <w:t xml:space="preserve">Auditor’s Responsibility </w:t>
      </w:r>
    </w:p>
    <w:p w:rsidR="001647FF" w:rsidRPr="00572F72" w:rsidRDefault="001647FF" w:rsidP="001647FF">
      <w:pPr>
        <w:tabs>
          <w:tab w:val="left" w:pos="720"/>
          <w:tab w:val="left" w:pos="1264"/>
        </w:tabs>
        <w:spacing w:after="0"/>
        <w:jc w:val="both"/>
        <w:rPr>
          <w:rFonts w:ascii="Verdana" w:hAnsi="Verdana"/>
          <w:sz w:val="20"/>
          <w:szCs w:val="20"/>
        </w:rPr>
      </w:pPr>
      <w:r w:rsidRPr="00572F72">
        <w:rPr>
          <w:rFonts w:ascii="Verdana" w:hAnsi="Verdana"/>
          <w:sz w:val="20"/>
          <w:szCs w:val="20"/>
        </w:rPr>
        <w:t>Our responsibility is to express an opinion on the Consolidated Financial Statements and the Parent Company Financial Statements based on our audit. We conducted our audit in accordance with International Standards on Auditing and additional requirements under Danish audit regulation.  This requires that we comply with ethical requirements and plan and perform the audit to obtain reasonable assurance whether the Consolidated Financial Statements and the Parent Company Financial Statements are free from material misstatement.</w:t>
      </w:r>
    </w:p>
    <w:p w:rsidR="001647FF" w:rsidRPr="00572F72" w:rsidRDefault="001647FF" w:rsidP="001647FF">
      <w:pPr>
        <w:tabs>
          <w:tab w:val="left" w:pos="720"/>
          <w:tab w:val="left" w:pos="1264"/>
        </w:tabs>
        <w:spacing w:after="0"/>
        <w:jc w:val="both"/>
        <w:rPr>
          <w:rFonts w:ascii="Verdana" w:hAnsi="Verdana"/>
          <w:sz w:val="20"/>
          <w:szCs w:val="20"/>
        </w:rPr>
      </w:pPr>
    </w:p>
    <w:p w:rsidR="001647FF" w:rsidRPr="00572F72" w:rsidRDefault="001647FF" w:rsidP="001647FF">
      <w:pPr>
        <w:tabs>
          <w:tab w:val="left" w:pos="720"/>
          <w:tab w:val="left" w:pos="1264"/>
        </w:tabs>
        <w:spacing w:after="0"/>
        <w:jc w:val="both"/>
        <w:rPr>
          <w:rFonts w:ascii="Verdana" w:hAnsi="Verdana"/>
          <w:sz w:val="20"/>
          <w:szCs w:val="20"/>
        </w:rPr>
      </w:pPr>
      <w:r w:rsidRPr="00572F72">
        <w:rPr>
          <w:rFonts w:ascii="Verdana" w:hAnsi="Verdana"/>
          <w:sz w:val="20"/>
          <w:szCs w:val="20"/>
        </w:rPr>
        <w:t xml:space="preserve">An audit involves performing procedures to obtain audit evidence about the amounts and disclosures in the Consolidated Financial Statements and the Parent Company Financial Statements. The procedures selected depend on the auditor’s judgment, including the assessment of the risks of material misstatement of the Consolidated Financial Statements and the Parent Company Financial Statements, whether due to fraud or error. In making those risk assessments, the auditor considers internal control relevant to the </w:t>
      </w:r>
      <w:r w:rsidR="008E7834" w:rsidRPr="00572F72">
        <w:rPr>
          <w:rFonts w:ascii="Verdana" w:hAnsi="Verdana"/>
          <w:sz w:val="20"/>
          <w:szCs w:val="20"/>
        </w:rPr>
        <w:t xml:space="preserve">Parent </w:t>
      </w:r>
      <w:r w:rsidRPr="00572F72">
        <w:rPr>
          <w:rFonts w:ascii="Verdana" w:hAnsi="Verdana"/>
          <w:sz w:val="20"/>
          <w:szCs w:val="20"/>
        </w:rPr>
        <w:t>Company’s preparation of Consolidated Financial Statements and Parent Company Financial Statements that give a true and fair view in order to design audit procedures that are appropriate in the circumstances, but not for the purpose of expressing an opinion on the effectiveness of the</w:t>
      </w:r>
      <w:r w:rsidR="008E7834">
        <w:rPr>
          <w:rFonts w:ascii="Verdana" w:hAnsi="Verdana"/>
          <w:sz w:val="20"/>
          <w:szCs w:val="20"/>
        </w:rPr>
        <w:t xml:space="preserve"> </w:t>
      </w:r>
      <w:r w:rsidR="008E7834" w:rsidRPr="00572F72">
        <w:rPr>
          <w:rFonts w:ascii="Verdana" w:hAnsi="Verdana"/>
          <w:sz w:val="20"/>
          <w:szCs w:val="20"/>
        </w:rPr>
        <w:t>Parent</w:t>
      </w:r>
      <w:r w:rsidRPr="00572F72">
        <w:rPr>
          <w:rFonts w:ascii="Verdana" w:hAnsi="Verdana"/>
          <w:sz w:val="20"/>
          <w:szCs w:val="20"/>
        </w:rPr>
        <w:t xml:space="preserve"> Company’s internal control. An audit also includes evaluating the appropriateness of accounting policies used and the reasonableness of accounting estimates made by Management, as well as evaluating the overall presentation of the Consolidated Financial Statements and the Parent Company Financial Statements. </w:t>
      </w:r>
    </w:p>
    <w:p w:rsidR="001647FF" w:rsidRPr="00572F72" w:rsidRDefault="001647FF" w:rsidP="001647FF">
      <w:pPr>
        <w:tabs>
          <w:tab w:val="left" w:pos="720"/>
          <w:tab w:val="left" w:pos="1264"/>
        </w:tabs>
        <w:spacing w:after="0"/>
        <w:jc w:val="both"/>
        <w:rPr>
          <w:rFonts w:ascii="Verdana" w:hAnsi="Verdana"/>
          <w:sz w:val="20"/>
          <w:szCs w:val="20"/>
        </w:rPr>
      </w:pPr>
    </w:p>
    <w:p w:rsidR="001647FF" w:rsidRPr="00572F72" w:rsidRDefault="001647FF" w:rsidP="001647FF">
      <w:pPr>
        <w:tabs>
          <w:tab w:val="left" w:pos="720"/>
          <w:tab w:val="left" w:pos="1264"/>
        </w:tabs>
        <w:spacing w:after="0"/>
        <w:jc w:val="both"/>
        <w:rPr>
          <w:rFonts w:ascii="Verdana" w:hAnsi="Verdana"/>
          <w:sz w:val="20"/>
          <w:szCs w:val="20"/>
        </w:rPr>
      </w:pPr>
      <w:r w:rsidRPr="00572F72">
        <w:rPr>
          <w:rFonts w:ascii="Verdana" w:hAnsi="Verdana"/>
          <w:sz w:val="20"/>
          <w:szCs w:val="20"/>
        </w:rPr>
        <w:t xml:space="preserve">We believe that the audit evidence we have obtained is sufficient and appropriate to provide a basis for our audit opinion. </w:t>
      </w:r>
    </w:p>
    <w:p w:rsidR="001647FF" w:rsidRPr="00572F72" w:rsidRDefault="001647FF" w:rsidP="001647FF">
      <w:pPr>
        <w:tabs>
          <w:tab w:val="left" w:pos="720"/>
          <w:tab w:val="left" w:pos="1264"/>
        </w:tabs>
        <w:spacing w:after="0"/>
        <w:jc w:val="both"/>
        <w:rPr>
          <w:rFonts w:ascii="Verdana" w:hAnsi="Verdana"/>
          <w:sz w:val="20"/>
          <w:szCs w:val="20"/>
        </w:rPr>
      </w:pPr>
    </w:p>
    <w:p w:rsidR="001647FF" w:rsidRPr="00572F72" w:rsidRDefault="001647FF" w:rsidP="001647FF">
      <w:pPr>
        <w:tabs>
          <w:tab w:val="left" w:pos="720"/>
          <w:tab w:val="left" w:pos="1264"/>
        </w:tabs>
        <w:spacing w:after="0"/>
        <w:jc w:val="both"/>
        <w:rPr>
          <w:rFonts w:ascii="Verdana" w:hAnsi="Verdana"/>
          <w:sz w:val="20"/>
          <w:szCs w:val="20"/>
        </w:rPr>
      </w:pPr>
      <w:r w:rsidRPr="00572F72">
        <w:rPr>
          <w:rFonts w:ascii="Verdana" w:hAnsi="Verdana"/>
          <w:sz w:val="20"/>
          <w:szCs w:val="20"/>
        </w:rPr>
        <w:lastRenderedPageBreak/>
        <w:t xml:space="preserve">The audit has not resulted in any qualification. </w:t>
      </w:r>
    </w:p>
    <w:p w:rsidR="001647FF" w:rsidRPr="00572F72" w:rsidRDefault="001647FF" w:rsidP="001647FF">
      <w:pPr>
        <w:tabs>
          <w:tab w:val="left" w:pos="720"/>
          <w:tab w:val="left" w:pos="1264"/>
        </w:tabs>
        <w:spacing w:after="0"/>
        <w:jc w:val="both"/>
        <w:rPr>
          <w:rFonts w:ascii="Verdana" w:hAnsi="Verdana"/>
          <w:b/>
          <w:sz w:val="20"/>
          <w:szCs w:val="20"/>
        </w:rPr>
      </w:pPr>
      <w:r w:rsidRPr="00572F72">
        <w:rPr>
          <w:rFonts w:ascii="Verdana" w:hAnsi="Verdana"/>
          <w:b/>
          <w:sz w:val="20"/>
          <w:szCs w:val="20"/>
        </w:rPr>
        <w:t xml:space="preserve">Opinion </w:t>
      </w:r>
    </w:p>
    <w:p w:rsidR="001647FF" w:rsidRPr="00572F72" w:rsidRDefault="001647FF" w:rsidP="001647FF">
      <w:pPr>
        <w:tabs>
          <w:tab w:val="left" w:pos="720"/>
          <w:tab w:val="left" w:pos="1264"/>
        </w:tabs>
        <w:spacing w:after="0"/>
        <w:jc w:val="both"/>
        <w:rPr>
          <w:rFonts w:ascii="Verdana" w:hAnsi="Verdana"/>
          <w:sz w:val="20"/>
          <w:szCs w:val="20"/>
        </w:rPr>
      </w:pPr>
      <w:r w:rsidRPr="00572F72">
        <w:rPr>
          <w:rFonts w:ascii="Verdana" w:hAnsi="Verdana"/>
          <w:sz w:val="20"/>
          <w:szCs w:val="20"/>
        </w:rPr>
        <w:t>In our opinion, the Consolidated Financial Statements and the Parent Company Financial Statements give a true and fair view of the Group’s and the Parent Company’s financial position at 31 December 2013 and of the results of the Group’s and the Parent Company’s operations and cash flows for the financial year 1 January to 31 December 2013 in accordance with International Financial Reporting Standards as adopted by the EU and Danish disclosure requirements for listed companies.</w:t>
      </w:r>
    </w:p>
    <w:p w:rsidR="001647FF" w:rsidRPr="00572F72" w:rsidRDefault="001647FF" w:rsidP="001647FF">
      <w:pPr>
        <w:tabs>
          <w:tab w:val="left" w:pos="720"/>
          <w:tab w:val="left" w:pos="1264"/>
        </w:tabs>
        <w:spacing w:after="0"/>
        <w:jc w:val="both"/>
        <w:rPr>
          <w:rFonts w:ascii="Verdana" w:hAnsi="Verdana"/>
          <w:sz w:val="20"/>
          <w:szCs w:val="20"/>
        </w:rPr>
      </w:pPr>
    </w:p>
    <w:p w:rsidR="001647FF" w:rsidRPr="00572F72" w:rsidRDefault="001647FF" w:rsidP="00BD2C69">
      <w:pPr>
        <w:pStyle w:val="Afsnitsnr-UK"/>
        <w:numPr>
          <w:ilvl w:val="0"/>
          <w:numId w:val="0"/>
        </w:numPr>
        <w:spacing w:after="0"/>
        <w:rPr>
          <w:rFonts w:ascii="Verdana" w:eastAsiaTheme="minorHAnsi" w:hAnsi="Verdana" w:cstheme="minorBidi"/>
          <w:b/>
          <w:lang w:val="en-US"/>
        </w:rPr>
      </w:pPr>
      <w:r w:rsidRPr="00572F72">
        <w:rPr>
          <w:rFonts w:ascii="Verdana" w:eastAsiaTheme="minorHAnsi" w:hAnsi="Verdana" w:cstheme="minorBidi"/>
          <w:b/>
          <w:lang w:val="en-US"/>
        </w:rPr>
        <w:t>Emphasis of matter</w:t>
      </w:r>
    </w:p>
    <w:p w:rsidR="001647FF" w:rsidRPr="00572F72" w:rsidRDefault="001647FF" w:rsidP="00BD2C69">
      <w:pPr>
        <w:pStyle w:val="Afsnitsnr"/>
        <w:spacing w:after="0" w:line="290" w:lineRule="atLeast"/>
        <w:jc w:val="both"/>
        <w:rPr>
          <w:rFonts w:ascii="Verdana" w:eastAsiaTheme="minorHAnsi" w:hAnsi="Verdana" w:cstheme="minorBidi"/>
          <w:lang w:val="en-US"/>
        </w:rPr>
      </w:pPr>
      <w:r w:rsidRPr="00572F72">
        <w:rPr>
          <w:rFonts w:ascii="Verdana" w:eastAsiaTheme="minorHAnsi" w:hAnsi="Verdana" w:cstheme="minorBidi"/>
          <w:lang w:val="en-US"/>
        </w:rPr>
        <w:t xml:space="preserve">Without qualifying our opinion, we draw attention to the Financial Statements </w:t>
      </w:r>
      <w:r w:rsidR="003A65D0">
        <w:rPr>
          <w:rFonts w:ascii="Verdana" w:eastAsiaTheme="minorHAnsi" w:hAnsi="Verdana" w:cstheme="minorBidi"/>
          <w:lang w:val="en-US"/>
        </w:rPr>
        <w:t>N</w:t>
      </w:r>
      <w:r w:rsidRPr="00572F72">
        <w:rPr>
          <w:rFonts w:ascii="Verdana" w:eastAsiaTheme="minorHAnsi" w:hAnsi="Verdana" w:cstheme="minorBidi"/>
          <w:lang w:val="en-US"/>
        </w:rPr>
        <w:t>ote 0 “</w:t>
      </w:r>
      <w:r>
        <w:rPr>
          <w:rFonts w:ascii="Verdana" w:eastAsiaTheme="minorHAnsi" w:hAnsi="Verdana" w:cstheme="minorBidi"/>
          <w:lang w:val="en-US"/>
        </w:rPr>
        <w:t>G</w:t>
      </w:r>
      <w:r w:rsidRPr="00572F72">
        <w:rPr>
          <w:rFonts w:ascii="Verdana" w:eastAsiaTheme="minorHAnsi" w:hAnsi="Verdana" w:cstheme="minorBidi"/>
          <w:lang w:val="en-US"/>
        </w:rPr>
        <w:t>oing concern</w:t>
      </w:r>
      <w:r>
        <w:rPr>
          <w:rFonts w:ascii="Verdana" w:eastAsiaTheme="minorHAnsi" w:hAnsi="Verdana" w:cstheme="minorBidi"/>
          <w:lang w:val="en-US"/>
        </w:rPr>
        <w:t xml:space="preserve"> and uncertainties regarding 2014</w:t>
      </w:r>
      <w:r w:rsidRPr="00572F72">
        <w:rPr>
          <w:rFonts w:ascii="Verdana" w:eastAsiaTheme="minorHAnsi" w:hAnsi="Verdana" w:cstheme="minorBidi"/>
          <w:lang w:val="en-US"/>
        </w:rPr>
        <w:t xml:space="preserve">”, where the Board of Directors and Executive Board describe </w:t>
      </w:r>
      <w:r>
        <w:rPr>
          <w:rFonts w:ascii="Verdana" w:eastAsiaTheme="minorHAnsi" w:hAnsi="Verdana" w:cstheme="minorBidi"/>
          <w:lang w:val="en-US"/>
        </w:rPr>
        <w:t>Nordic Shipholding’s financial position, cashflow assumptions for 2014 and other uncertainties which coul</w:t>
      </w:r>
      <w:r w:rsidR="00183D1E">
        <w:rPr>
          <w:rFonts w:ascii="Verdana" w:eastAsiaTheme="minorHAnsi" w:hAnsi="Verdana" w:cstheme="minorBidi"/>
          <w:lang w:val="en-US"/>
        </w:rPr>
        <w:t>d impact the result negatively.</w:t>
      </w:r>
    </w:p>
    <w:p w:rsidR="001647FF" w:rsidRDefault="001647FF" w:rsidP="001647FF">
      <w:pPr>
        <w:pStyle w:val="Afsnitsnr"/>
        <w:spacing w:after="0" w:line="290" w:lineRule="atLeast"/>
        <w:rPr>
          <w:rFonts w:ascii="Verdana" w:eastAsiaTheme="minorHAnsi" w:hAnsi="Verdana" w:cstheme="minorBidi"/>
          <w:lang w:val="en-US"/>
        </w:rPr>
      </w:pPr>
    </w:p>
    <w:p w:rsidR="001647FF" w:rsidRPr="00572F72" w:rsidRDefault="001647FF" w:rsidP="00BD2C69">
      <w:pPr>
        <w:pStyle w:val="Afsnitsnr"/>
        <w:spacing w:after="0" w:line="290" w:lineRule="atLeast"/>
        <w:jc w:val="both"/>
        <w:rPr>
          <w:rFonts w:ascii="Verdana" w:hAnsi="Verdana"/>
          <w:lang w:val="en-US"/>
        </w:rPr>
      </w:pPr>
      <w:r>
        <w:rPr>
          <w:rFonts w:ascii="Verdana" w:eastAsiaTheme="minorHAnsi" w:hAnsi="Verdana" w:cstheme="minorBidi"/>
          <w:lang w:val="en-US"/>
        </w:rPr>
        <w:t xml:space="preserve">The Financial Statements are prepared based on the going concern principle. </w:t>
      </w:r>
      <w:r w:rsidRPr="00572F72">
        <w:rPr>
          <w:rFonts w:ascii="Verdana" w:eastAsiaTheme="minorHAnsi" w:hAnsi="Verdana" w:cstheme="minorBidi"/>
          <w:lang w:val="en-US"/>
        </w:rPr>
        <w:t xml:space="preserve">The matters described in </w:t>
      </w:r>
      <w:r w:rsidR="003A65D0">
        <w:rPr>
          <w:rFonts w:ascii="Verdana" w:eastAsiaTheme="minorHAnsi" w:hAnsi="Verdana" w:cstheme="minorBidi"/>
          <w:lang w:val="en-US"/>
        </w:rPr>
        <w:t>N</w:t>
      </w:r>
      <w:r w:rsidRPr="00572F72">
        <w:rPr>
          <w:rFonts w:ascii="Verdana" w:eastAsiaTheme="minorHAnsi" w:hAnsi="Verdana" w:cstheme="minorBidi"/>
          <w:lang w:val="en-US"/>
        </w:rPr>
        <w:t>ote 0 indicate the existence of uncertaint</w:t>
      </w:r>
      <w:r>
        <w:rPr>
          <w:rFonts w:ascii="Verdana" w:eastAsiaTheme="minorHAnsi" w:hAnsi="Verdana" w:cstheme="minorBidi"/>
          <w:lang w:val="en-US"/>
        </w:rPr>
        <w:t>ies</w:t>
      </w:r>
      <w:r w:rsidRPr="00572F72">
        <w:rPr>
          <w:rFonts w:ascii="Verdana" w:eastAsiaTheme="minorHAnsi" w:hAnsi="Verdana" w:cstheme="minorBidi"/>
          <w:lang w:val="en-US"/>
        </w:rPr>
        <w:t xml:space="preserve"> which may cast doubt about the ability of Nordic Shipholding A/S to continue as a going concern</w:t>
      </w:r>
      <w:r>
        <w:rPr>
          <w:rFonts w:ascii="Verdana" w:eastAsiaTheme="minorHAnsi" w:hAnsi="Verdana" w:cstheme="minorBidi"/>
          <w:lang w:val="en-US"/>
        </w:rPr>
        <w:t xml:space="preserve"> due to potential breach of loan covenants</w:t>
      </w:r>
      <w:r w:rsidRPr="00572F72">
        <w:rPr>
          <w:rFonts w:ascii="Verdana" w:eastAsiaTheme="minorHAnsi" w:hAnsi="Verdana" w:cstheme="minorBidi"/>
          <w:lang w:val="en-US"/>
        </w:rPr>
        <w:t>.</w:t>
      </w:r>
      <w:r>
        <w:rPr>
          <w:rFonts w:ascii="Verdana" w:eastAsiaTheme="minorHAnsi" w:hAnsi="Verdana" w:cstheme="minorBidi"/>
          <w:lang w:val="en-US"/>
        </w:rPr>
        <w:t xml:space="preserve"> In the note</w:t>
      </w:r>
      <w:r w:rsidR="003A65D0">
        <w:rPr>
          <w:rFonts w:ascii="Verdana" w:eastAsiaTheme="minorHAnsi" w:hAnsi="Verdana" w:cstheme="minorBidi"/>
          <w:lang w:val="en-US"/>
        </w:rPr>
        <w:t>,</w:t>
      </w:r>
      <w:r>
        <w:rPr>
          <w:rFonts w:ascii="Verdana" w:eastAsiaTheme="minorHAnsi" w:hAnsi="Verdana" w:cstheme="minorBidi"/>
          <w:lang w:val="en-US"/>
        </w:rPr>
        <w:t xml:space="preserve"> Management state that they expect to find </w:t>
      </w:r>
      <w:r w:rsidRPr="00572F72">
        <w:rPr>
          <w:rFonts w:ascii="Verdana" w:eastAsiaTheme="minorHAnsi" w:hAnsi="Verdana" w:cstheme="minorBidi"/>
          <w:lang w:val="en-US"/>
        </w:rPr>
        <w:t xml:space="preserve">a </w:t>
      </w:r>
      <w:r w:rsidRPr="002B090E">
        <w:rPr>
          <w:rFonts w:ascii="Verdana" w:eastAsiaTheme="minorHAnsi" w:hAnsi="Verdana" w:cstheme="minorBidi"/>
          <w:lang w:val="en-US"/>
        </w:rPr>
        <w:t>solution for the financing</w:t>
      </w:r>
      <w:r>
        <w:rPr>
          <w:rFonts w:ascii="Verdana" w:eastAsiaTheme="minorHAnsi" w:hAnsi="Verdana" w:cstheme="minorBidi"/>
          <w:lang w:val="en-US"/>
        </w:rPr>
        <w:t xml:space="preserve"> of the Group, </w:t>
      </w:r>
      <w:r w:rsidRPr="005D182D">
        <w:rPr>
          <w:rFonts w:ascii="Verdana" w:eastAsiaTheme="minorHAnsi" w:hAnsi="Verdana" w:cstheme="minorBidi"/>
          <w:lang w:val="en-US"/>
        </w:rPr>
        <w:t xml:space="preserve">if </w:t>
      </w:r>
      <w:r>
        <w:rPr>
          <w:rFonts w:ascii="Verdana" w:eastAsiaTheme="minorHAnsi" w:hAnsi="Verdana" w:cstheme="minorBidi"/>
          <w:lang w:val="en-US"/>
        </w:rPr>
        <w:t xml:space="preserve">the Group </w:t>
      </w:r>
      <w:r w:rsidRPr="005D182D">
        <w:rPr>
          <w:rFonts w:ascii="Verdana" w:eastAsiaTheme="minorHAnsi" w:hAnsi="Verdana" w:cstheme="minorBidi"/>
          <w:lang w:val="en-US"/>
        </w:rPr>
        <w:t>should breach loan covenants</w:t>
      </w:r>
      <w:r w:rsidRPr="002B090E">
        <w:rPr>
          <w:rFonts w:ascii="Verdana" w:eastAsiaTheme="minorHAnsi" w:hAnsi="Verdana" w:cstheme="minorBidi"/>
          <w:lang w:val="en-US"/>
        </w:rPr>
        <w:t xml:space="preserve">. </w:t>
      </w:r>
    </w:p>
    <w:p w:rsidR="001647FF" w:rsidRPr="00572F72" w:rsidRDefault="001647FF" w:rsidP="001647FF">
      <w:pPr>
        <w:pStyle w:val="Afsnitsnr"/>
        <w:spacing w:after="0" w:line="290" w:lineRule="atLeast"/>
        <w:rPr>
          <w:rFonts w:ascii="Verdana" w:eastAsiaTheme="minorHAnsi" w:hAnsi="Verdana" w:cstheme="minorBidi"/>
          <w:lang w:val="en-US"/>
        </w:rPr>
      </w:pPr>
    </w:p>
    <w:p w:rsidR="001647FF" w:rsidRPr="00572F72" w:rsidRDefault="001647FF" w:rsidP="001647FF">
      <w:pPr>
        <w:pStyle w:val="Afsnitsnr"/>
        <w:spacing w:after="0" w:line="290" w:lineRule="atLeast"/>
        <w:rPr>
          <w:rFonts w:ascii="Verdana" w:eastAsiaTheme="minorHAnsi" w:hAnsi="Verdana" w:cstheme="minorBidi"/>
          <w:b/>
          <w:sz w:val="22"/>
          <w:szCs w:val="22"/>
          <w:lang w:val="en-US"/>
        </w:rPr>
      </w:pPr>
      <w:r w:rsidRPr="00572F72">
        <w:rPr>
          <w:rFonts w:ascii="Verdana" w:eastAsiaTheme="minorHAnsi" w:hAnsi="Verdana" w:cstheme="minorBidi"/>
          <w:b/>
          <w:sz w:val="22"/>
          <w:szCs w:val="22"/>
          <w:lang w:val="en-US"/>
        </w:rPr>
        <w:t>Statement on Management’s Review</w:t>
      </w:r>
    </w:p>
    <w:p w:rsidR="001647FF" w:rsidRPr="00572F72" w:rsidRDefault="001647FF" w:rsidP="00BD2C69">
      <w:pPr>
        <w:pStyle w:val="Afsnitsnr"/>
        <w:spacing w:after="0" w:line="290" w:lineRule="atLeast"/>
        <w:jc w:val="both"/>
        <w:rPr>
          <w:rFonts w:ascii="Verdana" w:eastAsiaTheme="minorHAnsi" w:hAnsi="Verdana" w:cstheme="minorBidi"/>
          <w:lang w:val="en-US"/>
        </w:rPr>
      </w:pPr>
      <w:r w:rsidRPr="00572F72">
        <w:rPr>
          <w:rFonts w:ascii="Verdana" w:eastAsiaTheme="minorHAnsi" w:hAnsi="Verdana" w:cstheme="minorBidi"/>
          <w:lang w:val="en-US"/>
        </w:rPr>
        <w:t>We have read Management’s Review in accordance with the Danish Financial Statements Act. We have not performed any procedures additional to the audit of the Consolidated Financial Statements and the Parent Company Financial Statements. On this basis, in our opinion, the information provided in Management’s Review is consistent with the Consolidated Financial Statements and the Parent Company Financial Statements.</w:t>
      </w:r>
    </w:p>
    <w:p w:rsidR="00363921" w:rsidRPr="00C84D1B" w:rsidRDefault="00363921" w:rsidP="00363921">
      <w:pPr>
        <w:spacing w:after="0"/>
        <w:jc w:val="both"/>
        <w:rPr>
          <w:rFonts w:ascii="Verdana" w:hAnsi="Verdana"/>
          <w:sz w:val="20"/>
          <w:szCs w:val="20"/>
        </w:rPr>
      </w:pPr>
    </w:p>
    <w:p w:rsidR="00363921" w:rsidRPr="00C84D1B" w:rsidRDefault="00363921" w:rsidP="00363921">
      <w:pPr>
        <w:spacing w:after="0"/>
        <w:jc w:val="both"/>
        <w:rPr>
          <w:rFonts w:ascii="Verdana" w:hAnsi="Verdana"/>
          <w:sz w:val="20"/>
          <w:szCs w:val="20"/>
        </w:rPr>
      </w:pPr>
    </w:p>
    <w:p w:rsidR="00363921" w:rsidRPr="00C84D1B" w:rsidRDefault="00363921" w:rsidP="00363921">
      <w:pPr>
        <w:spacing w:after="0"/>
        <w:jc w:val="both"/>
        <w:rPr>
          <w:rFonts w:ascii="Verdana" w:hAnsi="Verdana"/>
          <w:sz w:val="20"/>
          <w:szCs w:val="20"/>
        </w:rPr>
      </w:pPr>
      <w:r w:rsidRPr="00C84D1B">
        <w:rPr>
          <w:rFonts w:ascii="Verdana" w:hAnsi="Verdana"/>
          <w:sz w:val="20"/>
          <w:szCs w:val="20"/>
        </w:rPr>
        <w:t>Hellerup, 11 March 2014</w:t>
      </w:r>
    </w:p>
    <w:p w:rsidR="00363921" w:rsidRPr="00C84D1B" w:rsidRDefault="00363921" w:rsidP="00363921">
      <w:pPr>
        <w:spacing w:after="0"/>
        <w:jc w:val="both"/>
        <w:rPr>
          <w:rFonts w:ascii="Verdana" w:hAnsi="Verdana"/>
          <w:sz w:val="20"/>
          <w:szCs w:val="20"/>
        </w:rPr>
      </w:pPr>
      <w:r w:rsidRPr="00C84D1B">
        <w:rPr>
          <w:rFonts w:ascii="Verdana" w:hAnsi="Verdana"/>
          <w:sz w:val="20"/>
          <w:szCs w:val="20"/>
        </w:rPr>
        <w:t>PricewaterhouseCoopers</w:t>
      </w:r>
    </w:p>
    <w:p w:rsidR="00363921" w:rsidRPr="00363921" w:rsidRDefault="00363921" w:rsidP="00363921">
      <w:pPr>
        <w:spacing w:after="0"/>
        <w:jc w:val="both"/>
        <w:rPr>
          <w:rFonts w:ascii="Verdana" w:hAnsi="Verdana"/>
          <w:sz w:val="20"/>
          <w:szCs w:val="20"/>
        </w:rPr>
      </w:pPr>
      <w:r w:rsidRPr="00C84D1B">
        <w:rPr>
          <w:rFonts w:ascii="Verdana" w:hAnsi="Verdana"/>
          <w:sz w:val="20"/>
          <w:szCs w:val="20"/>
        </w:rPr>
        <w:t>Statsautoriseret Revisionspartnerselskab</w:t>
      </w:r>
    </w:p>
    <w:p w:rsidR="00363921" w:rsidRPr="00363921" w:rsidRDefault="00363921" w:rsidP="00363921">
      <w:pPr>
        <w:spacing w:after="0"/>
        <w:jc w:val="both"/>
        <w:rPr>
          <w:rFonts w:ascii="Verdana" w:hAnsi="Verdana"/>
          <w:sz w:val="20"/>
          <w:szCs w:val="20"/>
        </w:rPr>
      </w:pPr>
    </w:p>
    <w:p w:rsidR="00363921" w:rsidRPr="00363921" w:rsidRDefault="00363921" w:rsidP="00363921">
      <w:pPr>
        <w:spacing w:after="0"/>
        <w:jc w:val="both"/>
        <w:rPr>
          <w:rFonts w:ascii="Verdana" w:hAnsi="Verdana"/>
          <w:sz w:val="20"/>
          <w:szCs w:val="20"/>
        </w:rPr>
      </w:pPr>
    </w:p>
    <w:p w:rsidR="00363921" w:rsidRPr="00363921" w:rsidRDefault="00363921" w:rsidP="00363921">
      <w:pPr>
        <w:spacing w:after="0"/>
        <w:jc w:val="both"/>
        <w:rPr>
          <w:rFonts w:ascii="Verdana" w:hAnsi="Verdana"/>
          <w:sz w:val="20"/>
          <w:szCs w:val="20"/>
        </w:rPr>
      </w:pPr>
    </w:p>
    <w:tbl>
      <w:tblPr>
        <w:tblW w:w="0" w:type="auto"/>
        <w:tblLook w:val="0000" w:firstRow="0" w:lastRow="0" w:firstColumn="0" w:lastColumn="0" w:noHBand="0" w:noVBand="0"/>
      </w:tblPr>
      <w:tblGrid>
        <w:gridCol w:w="4785"/>
        <w:gridCol w:w="4786"/>
      </w:tblGrid>
      <w:tr w:rsidR="00363921" w:rsidRPr="00363921" w:rsidTr="00363921">
        <w:tc>
          <w:tcPr>
            <w:tcW w:w="4785" w:type="dxa"/>
          </w:tcPr>
          <w:p w:rsidR="00363921" w:rsidRPr="00363921" w:rsidRDefault="00363921" w:rsidP="00363921">
            <w:pPr>
              <w:spacing w:after="0"/>
              <w:jc w:val="both"/>
              <w:rPr>
                <w:rFonts w:ascii="Verdana" w:hAnsi="Verdana"/>
                <w:sz w:val="20"/>
                <w:szCs w:val="20"/>
              </w:rPr>
            </w:pPr>
            <w:r w:rsidRPr="00363921">
              <w:rPr>
                <w:rFonts w:ascii="Verdana" w:hAnsi="Verdana"/>
                <w:sz w:val="20"/>
                <w:szCs w:val="20"/>
              </w:rPr>
              <w:t xml:space="preserve">Thomas Wraae Holm </w:t>
            </w:r>
          </w:p>
        </w:tc>
        <w:tc>
          <w:tcPr>
            <w:tcW w:w="4786" w:type="dxa"/>
          </w:tcPr>
          <w:p w:rsidR="00363921" w:rsidRPr="00363921" w:rsidRDefault="00363921" w:rsidP="00363921">
            <w:pPr>
              <w:spacing w:after="0"/>
              <w:jc w:val="both"/>
              <w:rPr>
                <w:rFonts w:ascii="Verdana" w:hAnsi="Verdana"/>
                <w:sz w:val="20"/>
                <w:szCs w:val="20"/>
              </w:rPr>
            </w:pPr>
            <w:r w:rsidRPr="00363921">
              <w:rPr>
                <w:rFonts w:ascii="Verdana" w:hAnsi="Verdana"/>
                <w:sz w:val="20"/>
                <w:szCs w:val="20"/>
              </w:rPr>
              <w:t>Christian F. Jakobsen</w:t>
            </w:r>
          </w:p>
        </w:tc>
      </w:tr>
      <w:tr w:rsidR="00363921" w:rsidRPr="00363921" w:rsidTr="00363921">
        <w:tc>
          <w:tcPr>
            <w:tcW w:w="4785" w:type="dxa"/>
          </w:tcPr>
          <w:p w:rsidR="00363921" w:rsidRPr="00363921" w:rsidRDefault="00363921" w:rsidP="00363921">
            <w:pPr>
              <w:spacing w:after="0"/>
              <w:jc w:val="both"/>
              <w:rPr>
                <w:rFonts w:ascii="Verdana" w:hAnsi="Verdana"/>
                <w:sz w:val="20"/>
                <w:szCs w:val="20"/>
              </w:rPr>
            </w:pPr>
            <w:r w:rsidRPr="000F42A6">
              <w:rPr>
                <w:rFonts w:ascii="Verdana" w:hAnsi="Verdana"/>
                <w:sz w:val="20"/>
                <w:szCs w:val="20"/>
              </w:rPr>
              <w:t>State Authorised Public Accountant</w:t>
            </w:r>
          </w:p>
        </w:tc>
        <w:tc>
          <w:tcPr>
            <w:tcW w:w="4786" w:type="dxa"/>
          </w:tcPr>
          <w:p w:rsidR="00363921" w:rsidRPr="00363921" w:rsidRDefault="00363921" w:rsidP="00363921">
            <w:pPr>
              <w:spacing w:after="0"/>
              <w:jc w:val="both"/>
              <w:rPr>
                <w:rFonts w:ascii="Verdana" w:hAnsi="Verdana"/>
                <w:sz w:val="20"/>
                <w:szCs w:val="20"/>
              </w:rPr>
            </w:pPr>
            <w:r w:rsidRPr="000F42A6">
              <w:rPr>
                <w:rFonts w:ascii="Verdana" w:hAnsi="Verdana"/>
                <w:sz w:val="20"/>
                <w:szCs w:val="20"/>
              </w:rPr>
              <w:t>State Authorised Public Accountant</w:t>
            </w:r>
          </w:p>
        </w:tc>
      </w:tr>
    </w:tbl>
    <w:p w:rsidR="00363921" w:rsidRDefault="00363921" w:rsidP="000F42A6">
      <w:pPr>
        <w:pStyle w:val="Heading2"/>
        <w:spacing w:before="360"/>
        <w:rPr>
          <w:rFonts w:ascii="Verdana" w:hAnsi="Verdana" w:cs="Times New Roman"/>
          <w:bCs w:val="0"/>
          <w:color w:val="auto"/>
          <w:sz w:val="24"/>
          <w:szCs w:val="20"/>
          <w:lang w:val="en-US"/>
        </w:rPr>
      </w:pPr>
    </w:p>
    <w:p w:rsidR="00363921" w:rsidRDefault="00363921" w:rsidP="00363921">
      <w:pPr>
        <w:rPr>
          <w:lang w:eastAsia="da-DK"/>
        </w:rPr>
      </w:pPr>
    </w:p>
    <w:p w:rsidR="00363921" w:rsidRDefault="00363921" w:rsidP="00363921">
      <w:pPr>
        <w:rPr>
          <w:lang w:eastAsia="da-DK"/>
        </w:rPr>
      </w:pPr>
    </w:p>
    <w:p w:rsidR="00363921" w:rsidRDefault="00363921">
      <w:pPr>
        <w:rPr>
          <w:lang w:eastAsia="da-DK"/>
        </w:rPr>
      </w:pPr>
      <w:r>
        <w:rPr>
          <w:lang w:eastAsia="da-DK"/>
        </w:rPr>
        <w:br w:type="page"/>
      </w:r>
    </w:p>
    <w:p w:rsidR="00E74125" w:rsidRPr="003874B8" w:rsidRDefault="00C03F55" w:rsidP="00E74125">
      <w:pPr>
        <w:pStyle w:val="Heading1"/>
        <w:rPr>
          <w:rFonts w:ascii="Verdana" w:hAnsi="Verdana"/>
          <w:color w:val="17365D" w:themeColor="text2" w:themeShade="BF"/>
          <w:sz w:val="40"/>
          <w:szCs w:val="20"/>
          <w:lang w:val="en-GB"/>
        </w:rPr>
      </w:pPr>
      <w:r w:rsidRPr="00C03F55">
        <w:lastRenderedPageBreak/>
        <w:t xml:space="preserve"> </w:t>
      </w:r>
      <w:r w:rsidR="00E74125">
        <w:rPr>
          <w:rFonts w:ascii="Verdana" w:hAnsi="Verdana"/>
          <w:color w:val="17365D" w:themeColor="text2" w:themeShade="BF"/>
          <w:sz w:val="40"/>
          <w:szCs w:val="20"/>
          <w:lang w:val="en-GB"/>
        </w:rPr>
        <w:t>Financial Statements</w:t>
      </w:r>
    </w:p>
    <w:p w:rsidR="0095519A" w:rsidRDefault="00E74125">
      <w:pPr>
        <w:rPr>
          <w:noProof/>
        </w:rPr>
      </w:pPr>
      <w:r w:rsidRPr="00E74125">
        <w:rPr>
          <w:noProof/>
          <w:lang w:val="da-DK" w:eastAsia="da-DK"/>
        </w:rPr>
        <w:drawing>
          <wp:inline distT="0" distB="0" distL="0" distR="0">
            <wp:extent cx="6300470" cy="572003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0470" cy="5720036"/>
                    </a:xfrm>
                    <a:prstGeom prst="rect">
                      <a:avLst/>
                    </a:prstGeom>
                    <a:noFill/>
                    <a:ln>
                      <a:noFill/>
                    </a:ln>
                  </pic:spPr>
                </pic:pic>
              </a:graphicData>
            </a:graphic>
          </wp:inline>
        </w:drawing>
      </w:r>
    </w:p>
    <w:p w:rsidR="00E74125" w:rsidRDefault="00E74125">
      <w:pPr>
        <w:rPr>
          <w:noProof/>
        </w:rPr>
      </w:pPr>
    </w:p>
    <w:p w:rsidR="00E74125" w:rsidRDefault="00E74125">
      <w:pPr>
        <w:rPr>
          <w:noProof/>
        </w:rPr>
      </w:pPr>
    </w:p>
    <w:p w:rsidR="00E74125" w:rsidRDefault="00E74125"/>
    <w:p w:rsidR="0095519A" w:rsidRDefault="0095519A"/>
    <w:p w:rsidR="00A332F2" w:rsidRDefault="00A332F2"/>
    <w:p w:rsidR="00036709" w:rsidRDefault="00036709"/>
    <w:p w:rsidR="00036709" w:rsidRDefault="00036709"/>
    <w:p w:rsidR="00036709" w:rsidRDefault="00036709"/>
    <w:p w:rsidR="00036709" w:rsidRDefault="00036709"/>
    <w:p w:rsidR="008A7B73" w:rsidRDefault="008A7B73">
      <w:pPr>
        <w:rPr>
          <w:noProof/>
        </w:rPr>
      </w:pPr>
    </w:p>
    <w:p w:rsidR="00E74125" w:rsidRDefault="00521A13">
      <w:r w:rsidRPr="00521A13">
        <w:rPr>
          <w:noProof/>
          <w:lang w:val="da-DK" w:eastAsia="da-DK"/>
        </w:rPr>
        <w:drawing>
          <wp:inline distT="0" distB="0" distL="0" distR="0">
            <wp:extent cx="6300470" cy="5790392"/>
            <wp:effectExtent l="0" t="0" r="508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470" cy="5790392"/>
                    </a:xfrm>
                    <a:prstGeom prst="rect">
                      <a:avLst/>
                    </a:prstGeom>
                    <a:noFill/>
                    <a:ln>
                      <a:noFill/>
                    </a:ln>
                  </pic:spPr>
                </pic:pic>
              </a:graphicData>
            </a:graphic>
          </wp:inline>
        </w:drawing>
      </w:r>
    </w:p>
    <w:p w:rsidR="00A332F2" w:rsidRDefault="00A332F2"/>
    <w:p w:rsidR="00A332F2" w:rsidRDefault="00A332F2">
      <w:pPr>
        <w:rPr>
          <w:noProof/>
        </w:rPr>
      </w:pPr>
    </w:p>
    <w:p w:rsidR="008A7B73" w:rsidRDefault="008A7B73">
      <w:pPr>
        <w:rPr>
          <w:noProof/>
        </w:rPr>
      </w:pPr>
    </w:p>
    <w:p w:rsidR="008A7B73" w:rsidRDefault="008A7B73">
      <w:pPr>
        <w:rPr>
          <w:noProof/>
        </w:rPr>
      </w:pPr>
    </w:p>
    <w:p w:rsidR="008A7B73" w:rsidRDefault="008A7B73">
      <w:pPr>
        <w:rPr>
          <w:noProof/>
        </w:rPr>
      </w:pPr>
    </w:p>
    <w:p w:rsidR="008A7B73" w:rsidRDefault="008A7B73">
      <w:pPr>
        <w:rPr>
          <w:noProof/>
        </w:rPr>
      </w:pPr>
    </w:p>
    <w:p w:rsidR="008A7B73" w:rsidRDefault="008A7B73">
      <w:pPr>
        <w:rPr>
          <w:noProof/>
        </w:rPr>
      </w:pPr>
    </w:p>
    <w:p w:rsidR="008A7B73" w:rsidRDefault="008A7B73"/>
    <w:p w:rsidR="00036709" w:rsidRDefault="00036709">
      <w:pPr>
        <w:rPr>
          <w:noProof/>
        </w:rPr>
      </w:pPr>
    </w:p>
    <w:p w:rsidR="00E74125" w:rsidRDefault="00E74125">
      <w:pPr>
        <w:rPr>
          <w:noProof/>
        </w:rPr>
      </w:pPr>
    </w:p>
    <w:p w:rsidR="00E74125" w:rsidRDefault="00E74125">
      <w:pPr>
        <w:rPr>
          <w:noProof/>
        </w:rPr>
      </w:pPr>
    </w:p>
    <w:p w:rsidR="00E74125" w:rsidRDefault="00E74125">
      <w:r w:rsidRPr="00E74125">
        <w:rPr>
          <w:noProof/>
          <w:lang w:val="da-DK" w:eastAsia="da-DK"/>
        </w:rPr>
        <w:drawing>
          <wp:inline distT="0" distB="0" distL="0" distR="0">
            <wp:extent cx="6300470" cy="5199647"/>
            <wp:effectExtent l="0" t="0" r="508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470" cy="5199647"/>
                    </a:xfrm>
                    <a:prstGeom prst="rect">
                      <a:avLst/>
                    </a:prstGeom>
                    <a:noFill/>
                    <a:ln>
                      <a:noFill/>
                    </a:ln>
                  </pic:spPr>
                </pic:pic>
              </a:graphicData>
            </a:graphic>
          </wp:inline>
        </w:drawing>
      </w:r>
    </w:p>
    <w:p w:rsidR="00036709" w:rsidRDefault="00036709"/>
    <w:p w:rsidR="00036709" w:rsidRDefault="00036709"/>
    <w:p w:rsidR="00036709" w:rsidRDefault="00036709"/>
    <w:p w:rsidR="00036709" w:rsidRDefault="00036709"/>
    <w:p w:rsidR="00036709" w:rsidRDefault="00036709">
      <w:pPr>
        <w:rPr>
          <w:noProof/>
        </w:rPr>
      </w:pPr>
    </w:p>
    <w:p w:rsidR="008A7B73" w:rsidRDefault="008A7B73">
      <w:pPr>
        <w:rPr>
          <w:noProof/>
        </w:rPr>
      </w:pPr>
    </w:p>
    <w:p w:rsidR="008A7B73" w:rsidRDefault="008A7B73">
      <w:pPr>
        <w:rPr>
          <w:noProof/>
        </w:rPr>
      </w:pPr>
    </w:p>
    <w:p w:rsidR="008A7B73" w:rsidRDefault="008A7B73">
      <w:pPr>
        <w:rPr>
          <w:noProof/>
        </w:rPr>
      </w:pPr>
    </w:p>
    <w:p w:rsidR="008A7B73" w:rsidRDefault="008A7B73">
      <w:pPr>
        <w:rPr>
          <w:noProof/>
        </w:rPr>
      </w:pPr>
    </w:p>
    <w:p w:rsidR="00E74125" w:rsidRDefault="00E74125">
      <w:pPr>
        <w:rPr>
          <w:noProof/>
        </w:rPr>
      </w:pPr>
    </w:p>
    <w:p w:rsidR="00E74125" w:rsidRDefault="00E74125">
      <w:pPr>
        <w:rPr>
          <w:noProof/>
        </w:rPr>
      </w:pPr>
    </w:p>
    <w:p w:rsidR="00E74125" w:rsidRDefault="00E74125">
      <w:pPr>
        <w:rPr>
          <w:noProof/>
        </w:rPr>
      </w:pPr>
    </w:p>
    <w:p w:rsidR="00E74125" w:rsidRDefault="00E74125">
      <w:r w:rsidRPr="00E74125">
        <w:rPr>
          <w:noProof/>
          <w:lang w:val="da-DK" w:eastAsia="da-DK"/>
        </w:rPr>
        <w:drawing>
          <wp:inline distT="0" distB="0" distL="0" distR="0">
            <wp:extent cx="6300470" cy="5568407"/>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470" cy="5568407"/>
                    </a:xfrm>
                    <a:prstGeom prst="rect">
                      <a:avLst/>
                    </a:prstGeom>
                    <a:noFill/>
                    <a:ln>
                      <a:noFill/>
                    </a:ln>
                  </pic:spPr>
                </pic:pic>
              </a:graphicData>
            </a:graphic>
          </wp:inline>
        </w:drawing>
      </w:r>
    </w:p>
    <w:p w:rsidR="00FB69E8" w:rsidRDefault="00FB69E8"/>
    <w:p w:rsidR="00FB69E8" w:rsidRDefault="00FB69E8"/>
    <w:p w:rsidR="00FB69E8" w:rsidRDefault="00FB69E8"/>
    <w:p w:rsidR="00FB69E8" w:rsidRDefault="00FB69E8"/>
    <w:p w:rsidR="00FB69E8" w:rsidRDefault="00FB69E8"/>
    <w:p w:rsidR="004B3605" w:rsidRDefault="004B3605"/>
    <w:p w:rsidR="004B3605" w:rsidRDefault="00A8750D">
      <w:r w:rsidRPr="00A8750D">
        <w:rPr>
          <w:noProof/>
          <w:lang w:val="da-DK" w:eastAsia="da-DK"/>
        </w:rPr>
        <w:lastRenderedPageBreak/>
        <w:drawing>
          <wp:inline distT="0" distB="0" distL="0" distR="0" wp14:anchorId="70DC9201" wp14:editId="58DA1358">
            <wp:extent cx="6009640" cy="772223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9640" cy="7722235"/>
                    </a:xfrm>
                    <a:prstGeom prst="rect">
                      <a:avLst/>
                    </a:prstGeom>
                    <a:noFill/>
                    <a:ln>
                      <a:noFill/>
                    </a:ln>
                  </pic:spPr>
                </pic:pic>
              </a:graphicData>
            </a:graphic>
          </wp:inline>
        </w:drawing>
      </w:r>
    </w:p>
    <w:p w:rsidR="004B3605" w:rsidRDefault="004B3605">
      <w:r>
        <w:t>F</w:t>
      </w:r>
      <w:r w:rsidRPr="005658DE">
        <w:rPr>
          <w:rFonts w:ascii="Verdana" w:hAnsi="Verdana"/>
          <w:sz w:val="20"/>
          <w:szCs w:val="20"/>
        </w:rPr>
        <w:t>or information about treasury shares and share</w:t>
      </w:r>
      <w:r w:rsidR="00ED2604">
        <w:rPr>
          <w:rFonts w:ascii="Verdana" w:hAnsi="Verdana"/>
          <w:sz w:val="20"/>
          <w:szCs w:val="20"/>
        </w:rPr>
        <w:t xml:space="preserve"> capital please refer to Note 23</w:t>
      </w:r>
      <w:r w:rsidRPr="005658DE">
        <w:rPr>
          <w:rFonts w:ascii="Verdana" w:hAnsi="Verdana"/>
          <w:sz w:val="20"/>
          <w:szCs w:val="20"/>
        </w:rPr>
        <w:t>.</w:t>
      </w:r>
    </w:p>
    <w:p w:rsidR="004B3605" w:rsidRDefault="004B3605"/>
    <w:p w:rsidR="00FB69E8" w:rsidRDefault="00FB69E8"/>
    <w:p w:rsidR="00FB69E8" w:rsidRDefault="00FB69E8"/>
    <w:p w:rsidR="00FB69E8" w:rsidRDefault="00A8750D">
      <w:r w:rsidRPr="00A8750D">
        <w:rPr>
          <w:noProof/>
          <w:lang w:val="da-DK" w:eastAsia="da-DK"/>
        </w:rPr>
        <w:lastRenderedPageBreak/>
        <w:drawing>
          <wp:inline distT="0" distB="0" distL="0" distR="0" wp14:anchorId="4124EEDC" wp14:editId="40EC4A3C">
            <wp:extent cx="6300470" cy="8557260"/>
            <wp:effectExtent l="0" t="0" r="508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8557260"/>
                    </a:xfrm>
                    <a:prstGeom prst="rect">
                      <a:avLst/>
                    </a:prstGeom>
                    <a:noFill/>
                    <a:ln>
                      <a:noFill/>
                    </a:ln>
                  </pic:spPr>
                </pic:pic>
              </a:graphicData>
            </a:graphic>
          </wp:inline>
        </w:drawing>
      </w:r>
    </w:p>
    <w:p w:rsidR="004B3605" w:rsidRDefault="004B3605"/>
    <w:p w:rsidR="007C3886" w:rsidRDefault="007C3886">
      <w:pPr>
        <w:rPr>
          <w:noProof/>
        </w:rPr>
      </w:pPr>
    </w:p>
    <w:p w:rsidR="007C3886" w:rsidRDefault="007C3886">
      <w:pPr>
        <w:rPr>
          <w:noProof/>
        </w:rPr>
      </w:pPr>
    </w:p>
    <w:p w:rsidR="002D27DB" w:rsidRDefault="002D27DB">
      <w:pPr>
        <w:rPr>
          <w:noProof/>
        </w:rPr>
      </w:pPr>
    </w:p>
    <w:p w:rsidR="002D27DB" w:rsidRDefault="00870CAF">
      <w:pPr>
        <w:rPr>
          <w:noProof/>
        </w:rPr>
      </w:pPr>
      <w:r w:rsidRPr="00870CAF">
        <w:rPr>
          <w:noProof/>
          <w:lang w:val="da-DK" w:eastAsia="da-DK"/>
        </w:rPr>
        <w:drawing>
          <wp:inline distT="0" distB="0" distL="0" distR="0">
            <wp:extent cx="6300470" cy="7226021"/>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470" cy="7226021"/>
                    </a:xfrm>
                    <a:prstGeom prst="rect">
                      <a:avLst/>
                    </a:prstGeom>
                    <a:noFill/>
                    <a:ln>
                      <a:noFill/>
                    </a:ln>
                  </pic:spPr>
                </pic:pic>
              </a:graphicData>
            </a:graphic>
          </wp:inline>
        </w:drawing>
      </w:r>
    </w:p>
    <w:p w:rsidR="00855F49" w:rsidRDefault="00855F49">
      <w:pPr>
        <w:rPr>
          <w:noProof/>
        </w:rPr>
      </w:pPr>
    </w:p>
    <w:p w:rsidR="00855F49" w:rsidRDefault="00855F49"/>
    <w:p w:rsidR="00E23696" w:rsidRDefault="00B87A96">
      <w:r w:rsidRPr="00B87A96">
        <w:rPr>
          <w:noProof/>
          <w:lang w:val="da-DK" w:eastAsia="da-DK"/>
        </w:rPr>
        <w:lastRenderedPageBreak/>
        <w:drawing>
          <wp:inline distT="0" distB="0" distL="0" distR="0" wp14:anchorId="1B863872" wp14:editId="07303F64">
            <wp:extent cx="6300470" cy="8700679"/>
            <wp:effectExtent l="0" t="0" r="508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470" cy="8700679"/>
                    </a:xfrm>
                    <a:prstGeom prst="rect">
                      <a:avLst/>
                    </a:prstGeom>
                    <a:noFill/>
                    <a:ln>
                      <a:noFill/>
                    </a:ln>
                  </pic:spPr>
                </pic:pic>
              </a:graphicData>
            </a:graphic>
          </wp:inline>
        </w:drawing>
      </w:r>
    </w:p>
    <w:p w:rsidR="0099772B" w:rsidRDefault="0099772B" w:rsidP="000913ED">
      <w:pPr>
        <w:rPr>
          <w:color w:val="95B3D7" w:themeColor="accent1" w:themeTint="99"/>
        </w:rPr>
      </w:pPr>
    </w:p>
    <w:p w:rsidR="00752FF2" w:rsidRPr="00024769" w:rsidRDefault="00024769" w:rsidP="00854549">
      <w:pPr>
        <w:pStyle w:val="ListParagraph"/>
        <w:numPr>
          <w:ilvl w:val="0"/>
          <w:numId w:val="36"/>
        </w:numPr>
        <w:ind w:left="540" w:hanging="540"/>
        <w:rPr>
          <w:rStyle w:val="Strong"/>
          <w:b w:val="0"/>
          <w:bCs w:val="0"/>
          <w:color w:val="95B3D7" w:themeColor="accent1" w:themeTint="99"/>
        </w:rPr>
      </w:pPr>
      <w:r w:rsidRPr="00024769">
        <w:rPr>
          <w:rStyle w:val="Strong"/>
          <w:rFonts w:ascii="Verdana" w:hAnsi="Verdana" w:cstheme="minorHAnsi"/>
          <w:color w:val="95B3D7" w:themeColor="accent1" w:themeTint="99"/>
          <w:sz w:val="20"/>
          <w:szCs w:val="20"/>
        </w:rPr>
        <w:lastRenderedPageBreak/>
        <w:t>Going concern and uncertainties regarding 2014</w:t>
      </w:r>
    </w:p>
    <w:p w:rsidR="00024769" w:rsidRPr="00024769" w:rsidRDefault="00024769" w:rsidP="00024769">
      <w:pPr>
        <w:pStyle w:val="ListParagraph"/>
        <w:rPr>
          <w:color w:val="95B3D7" w:themeColor="accent1" w:themeTint="99"/>
        </w:rPr>
      </w:pPr>
    </w:p>
    <w:p w:rsidR="004C7F6A" w:rsidRDefault="004C7F6A" w:rsidP="004C7F6A">
      <w:pPr>
        <w:spacing w:after="0"/>
        <w:jc w:val="both"/>
        <w:rPr>
          <w:rFonts w:ascii="Verdana" w:hAnsi="Verdana"/>
          <w:sz w:val="20"/>
          <w:szCs w:val="20"/>
        </w:rPr>
      </w:pPr>
      <w:r w:rsidRPr="003277CD">
        <w:rPr>
          <w:rFonts w:ascii="Verdana" w:hAnsi="Verdana"/>
          <w:sz w:val="20"/>
          <w:szCs w:val="20"/>
        </w:rPr>
        <w:t>In the Group’s 2012 Annual Report, it was disclosed that there was material uncertainty relatin</w:t>
      </w:r>
      <w:r>
        <w:rPr>
          <w:rFonts w:ascii="Verdana" w:hAnsi="Verdana"/>
          <w:sz w:val="20"/>
          <w:szCs w:val="20"/>
        </w:rPr>
        <w:t>g to the Group’s and Nordic Shipholding A/S’ (the ‘</w:t>
      </w:r>
      <w:r w:rsidRPr="003277CD">
        <w:rPr>
          <w:rFonts w:ascii="Verdana" w:hAnsi="Verdana"/>
          <w:sz w:val="20"/>
          <w:szCs w:val="20"/>
        </w:rPr>
        <w:t>Company</w:t>
      </w:r>
      <w:r>
        <w:rPr>
          <w:rFonts w:ascii="Verdana" w:hAnsi="Verdana"/>
          <w:sz w:val="20"/>
          <w:szCs w:val="20"/>
        </w:rPr>
        <w:t xml:space="preserve">’) ability </w:t>
      </w:r>
      <w:r w:rsidRPr="003277CD">
        <w:rPr>
          <w:rFonts w:ascii="Verdana" w:hAnsi="Verdana"/>
          <w:sz w:val="20"/>
          <w:szCs w:val="20"/>
        </w:rPr>
        <w:t>to continue its operations (going concern) as there wa</w:t>
      </w:r>
      <w:r>
        <w:rPr>
          <w:rFonts w:ascii="Verdana" w:hAnsi="Verdana"/>
          <w:sz w:val="20"/>
          <w:szCs w:val="20"/>
        </w:rPr>
        <w:t xml:space="preserve">s no long-term solution for the </w:t>
      </w:r>
      <w:r w:rsidRPr="003277CD">
        <w:rPr>
          <w:rFonts w:ascii="Verdana" w:hAnsi="Verdana"/>
          <w:sz w:val="20"/>
          <w:szCs w:val="20"/>
        </w:rPr>
        <w:t xml:space="preserve">Company’s financial difficulties amid the on-going discussions between the Company and the </w:t>
      </w:r>
      <w:r>
        <w:rPr>
          <w:rFonts w:ascii="Verdana" w:hAnsi="Verdana"/>
          <w:sz w:val="20"/>
          <w:szCs w:val="20"/>
        </w:rPr>
        <w:t>lending</w:t>
      </w:r>
      <w:r w:rsidRPr="003277CD">
        <w:rPr>
          <w:rFonts w:ascii="Verdana" w:hAnsi="Verdana"/>
          <w:sz w:val="20"/>
          <w:szCs w:val="20"/>
        </w:rPr>
        <w:t xml:space="preserve"> banks (Nordea and Danish Ship Finance). A mora</w:t>
      </w:r>
      <w:r>
        <w:rPr>
          <w:rFonts w:ascii="Verdana" w:hAnsi="Verdana"/>
          <w:sz w:val="20"/>
          <w:szCs w:val="20"/>
        </w:rPr>
        <w:t>torium from the Company’s lending</w:t>
      </w:r>
      <w:r w:rsidRPr="003277CD">
        <w:rPr>
          <w:rFonts w:ascii="Verdana" w:hAnsi="Verdana"/>
          <w:sz w:val="20"/>
          <w:szCs w:val="20"/>
        </w:rPr>
        <w:t xml:space="preserve"> banks regarding contractual instalment payments and covenants on the Group’s and the Company’s loans secured on the vessels was extended until 30 June 2013. This moratorium was subsequently extended till 31 December 2013.</w:t>
      </w:r>
    </w:p>
    <w:p w:rsidR="004C7F6A" w:rsidRPr="003277CD" w:rsidRDefault="004C7F6A" w:rsidP="004C7F6A">
      <w:pPr>
        <w:spacing w:after="0"/>
        <w:jc w:val="both"/>
        <w:rPr>
          <w:rFonts w:ascii="Verdana" w:hAnsi="Verdana"/>
          <w:sz w:val="20"/>
          <w:szCs w:val="20"/>
        </w:rPr>
      </w:pPr>
    </w:p>
    <w:p w:rsidR="004C7F6A" w:rsidRPr="003277CD" w:rsidRDefault="004C7F6A" w:rsidP="004C7F6A">
      <w:pPr>
        <w:jc w:val="both"/>
        <w:rPr>
          <w:rFonts w:ascii="Verdana" w:hAnsi="Verdana"/>
          <w:sz w:val="20"/>
          <w:szCs w:val="20"/>
          <w:u w:val="single"/>
        </w:rPr>
      </w:pPr>
      <w:r w:rsidRPr="003277CD">
        <w:rPr>
          <w:rFonts w:ascii="Verdana" w:hAnsi="Verdana"/>
          <w:sz w:val="20"/>
          <w:szCs w:val="20"/>
          <w:u w:val="single"/>
        </w:rPr>
        <w:t>Restructuring</w:t>
      </w:r>
    </w:p>
    <w:p w:rsidR="004C7F6A" w:rsidRPr="003277CD" w:rsidRDefault="004C7F6A" w:rsidP="004C7F6A">
      <w:pPr>
        <w:spacing w:after="0"/>
        <w:jc w:val="both"/>
        <w:rPr>
          <w:rFonts w:ascii="Verdana" w:hAnsi="Verdana"/>
          <w:sz w:val="20"/>
          <w:szCs w:val="20"/>
        </w:rPr>
      </w:pPr>
      <w:r w:rsidRPr="003277CD">
        <w:rPr>
          <w:rFonts w:ascii="Verdana" w:hAnsi="Verdana"/>
          <w:sz w:val="20"/>
          <w:szCs w:val="20"/>
        </w:rPr>
        <w:t xml:space="preserve">On 19 December 2013, the Company completed a restructuring exercise.  The capital of the Company was restructured with the following key features: </w:t>
      </w:r>
    </w:p>
    <w:p w:rsidR="004C7F6A" w:rsidRPr="003277CD" w:rsidRDefault="004C7F6A" w:rsidP="004C7F6A">
      <w:pPr>
        <w:pStyle w:val="ListParagraph"/>
        <w:numPr>
          <w:ilvl w:val="0"/>
          <w:numId w:val="29"/>
        </w:numPr>
        <w:spacing w:line="276" w:lineRule="auto"/>
        <w:ind w:left="900" w:hanging="540"/>
        <w:jc w:val="both"/>
        <w:rPr>
          <w:rFonts w:ascii="Verdana" w:hAnsi="Verdana"/>
          <w:sz w:val="20"/>
          <w:szCs w:val="20"/>
        </w:rPr>
      </w:pPr>
      <w:r w:rsidRPr="003277CD">
        <w:rPr>
          <w:rFonts w:ascii="Verdana" w:hAnsi="Verdana"/>
          <w:sz w:val="20"/>
          <w:szCs w:val="20"/>
        </w:rPr>
        <w:t>Certain portion of the debt (including the outstanding interest rate swap) was converted to equity;</w:t>
      </w:r>
    </w:p>
    <w:p w:rsidR="004C7F6A" w:rsidRPr="003277CD" w:rsidRDefault="004C7F6A" w:rsidP="004C7F6A">
      <w:pPr>
        <w:pStyle w:val="ListParagraph"/>
        <w:numPr>
          <w:ilvl w:val="0"/>
          <w:numId w:val="29"/>
        </w:numPr>
        <w:spacing w:line="276" w:lineRule="auto"/>
        <w:ind w:left="900" w:hanging="540"/>
        <w:jc w:val="both"/>
        <w:rPr>
          <w:rFonts w:ascii="Verdana" w:hAnsi="Verdana"/>
          <w:sz w:val="20"/>
          <w:szCs w:val="20"/>
        </w:rPr>
      </w:pPr>
      <w:r w:rsidRPr="003277CD">
        <w:rPr>
          <w:rFonts w:ascii="Verdana" w:hAnsi="Verdana"/>
          <w:sz w:val="20"/>
          <w:szCs w:val="20"/>
        </w:rPr>
        <w:t xml:space="preserve">Remaining debt was re-financed into new long-term facility with existing </w:t>
      </w:r>
      <w:r>
        <w:rPr>
          <w:rFonts w:ascii="Verdana" w:hAnsi="Verdana"/>
          <w:sz w:val="20"/>
          <w:szCs w:val="20"/>
        </w:rPr>
        <w:t>lending</w:t>
      </w:r>
      <w:r w:rsidRPr="003277CD">
        <w:rPr>
          <w:rFonts w:ascii="Verdana" w:hAnsi="Verdana"/>
          <w:sz w:val="20"/>
          <w:szCs w:val="20"/>
        </w:rPr>
        <w:t xml:space="preserve"> banks</w:t>
      </w:r>
      <w:r>
        <w:rPr>
          <w:rFonts w:ascii="Verdana" w:hAnsi="Verdana"/>
          <w:sz w:val="20"/>
          <w:szCs w:val="20"/>
        </w:rPr>
        <w:t>;</w:t>
      </w:r>
    </w:p>
    <w:p w:rsidR="004C7F6A" w:rsidRPr="003277CD" w:rsidRDefault="004C7F6A" w:rsidP="004C7F6A">
      <w:pPr>
        <w:pStyle w:val="ListParagraph"/>
        <w:numPr>
          <w:ilvl w:val="0"/>
          <w:numId w:val="29"/>
        </w:numPr>
        <w:spacing w:line="276" w:lineRule="auto"/>
        <w:ind w:left="900" w:hanging="540"/>
        <w:jc w:val="both"/>
        <w:rPr>
          <w:rFonts w:ascii="Verdana" w:hAnsi="Verdana"/>
          <w:sz w:val="20"/>
          <w:szCs w:val="20"/>
        </w:rPr>
      </w:pPr>
      <w:r w:rsidRPr="003277CD">
        <w:rPr>
          <w:rFonts w:ascii="Verdana" w:hAnsi="Verdana"/>
          <w:sz w:val="20"/>
          <w:szCs w:val="20"/>
        </w:rPr>
        <w:t>New capital injection</w:t>
      </w:r>
      <w:r>
        <w:rPr>
          <w:rFonts w:ascii="Verdana" w:hAnsi="Verdana"/>
          <w:sz w:val="20"/>
          <w:szCs w:val="20"/>
        </w:rPr>
        <w:t>;</w:t>
      </w:r>
    </w:p>
    <w:p w:rsidR="004C7F6A" w:rsidRDefault="004C7F6A" w:rsidP="004C7F6A">
      <w:pPr>
        <w:pStyle w:val="ListParagraph"/>
        <w:numPr>
          <w:ilvl w:val="0"/>
          <w:numId w:val="29"/>
        </w:numPr>
        <w:spacing w:line="276" w:lineRule="auto"/>
        <w:ind w:left="900" w:hanging="540"/>
        <w:jc w:val="both"/>
        <w:rPr>
          <w:rFonts w:ascii="Verdana" w:hAnsi="Verdana"/>
          <w:sz w:val="20"/>
          <w:szCs w:val="20"/>
        </w:rPr>
      </w:pPr>
      <w:r w:rsidRPr="003277CD">
        <w:rPr>
          <w:rFonts w:ascii="Verdana" w:hAnsi="Verdana"/>
          <w:sz w:val="20"/>
          <w:szCs w:val="20"/>
        </w:rPr>
        <w:t>New working capital facil</w:t>
      </w:r>
      <w:r>
        <w:rPr>
          <w:rFonts w:ascii="Verdana" w:hAnsi="Verdana"/>
          <w:sz w:val="20"/>
          <w:szCs w:val="20"/>
        </w:rPr>
        <w:t>ity with existing lending banks.</w:t>
      </w:r>
    </w:p>
    <w:p w:rsidR="004C7F6A" w:rsidRPr="003277CD" w:rsidRDefault="004C7F6A" w:rsidP="004C7F6A">
      <w:pPr>
        <w:pStyle w:val="ListParagraph"/>
        <w:spacing w:line="276" w:lineRule="auto"/>
        <w:ind w:left="900"/>
        <w:jc w:val="both"/>
        <w:rPr>
          <w:rFonts w:ascii="Verdana" w:hAnsi="Verdana"/>
          <w:sz w:val="20"/>
          <w:szCs w:val="20"/>
        </w:rPr>
      </w:pPr>
    </w:p>
    <w:p w:rsidR="004C7F6A" w:rsidRPr="003277CD" w:rsidRDefault="004C7F6A" w:rsidP="004C7F6A">
      <w:pPr>
        <w:spacing w:after="0"/>
        <w:jc w:val="both"/>
        <w:rPr>
          <w:rFonts w:ascii="Verdana" w:hAnsi="Verdana"/>
          <w:i/>
          <w:sz w:val="20"/>
          <w:szCs w:val="20"/>
        </w:rPr>
      </w:pPr>
      <w:r w:rsidRPr="003277CD">
        <w:rPr>
          <w:rFonts w:ascii="Verdana" w:hAnsi="Verdana"/>
          <w:i/>
          <w:sz w:val="20"/>
          <w:szCs w:val="20"/>
        </w:rPr>
        <w:t>Converted debt to equity</w:t>
      </w:r>
    </w:p>
    <w:p w:rsidR="004C7F6A" w:rsidRDefault="004C7F6A" w:rsidP="004C7F6A">
      <w:pPr>
        <w:spacing w:after="0"/>
        <w:jc w:val="both"/>
        <w:rPr>
          <w:rFonts w:ascii="Verdana" w:hAnsi="Verdana"/>
          <w:sz w:val="20"/>
          <w:szCs w:val="20"/>
        </w:rPr>
      </w:pPr>
      <w:r w:rsidRPr="003277CD">
        <w:rPr>
          <w:rFonts w:ascii="Verdana" w:hAnsi="Verdana"/>
          <w:sz w:val="20"/>
          <w:szCs w:val="20"/>
        </w:rPr>
        <w:t>Out of the total debt outstanding as at 19 December 2013, debt and interest rate swap amounting to USD</w:t>
      </w:r>
      <w:r>
        <w:rPr>
          <w:rFonts w:ascii="Verdana" w:hAnsi="Verdana"/>
          <w:sz w:val="20"/>
          <w:szCs w:val="20"/>
        </w:rPr>
        <w:t xml:space="preserve"> </w:t>
      </w:r>
      <w:r w:rsidRPr="003277CD">
        <w:rPr>
          <w:rFonts w:ascii="Verdana" w:hAnsi="Verdana"/>
          <w:sz w:val="20"/>
          <w:szCs w:val="20"/>
        </w:rPr>
        <w:t>72.1 million were converted into new shares.  The new shares issued comprised 90% of the total enlarged issued shares of the Company.  After the share issuance, the new shareholders, Nordic Maritime S.á.r.l. (‘Nordic Ma</w:t>
      </w:r>
      <w:r>
        <w:rPr>
          <w:rFonts w:ascii="Verdana" w:hAnsi="Verdana"/>
          <w:sz w:val="20"/>
          <w:szCs w:val="20"/>
        </w:rPr>
        <w:t>ritime’) and the existing lending</w:t>
      </w:r>
      <w:r w:rsidRPr="003277CD">
        <w:rPr>
          <w:rFonts w:ascii="Verdana" w:hAnsi="Verdana"/>
          <w:sz w:val="20"/>
          <w:szCs w:val="20"/>
        </w:rPr>
        <w:t xml:space="preserve"> banks hold 75% and 15% respectively in the Company.</w:t>
      </w:r>
    </w:p>
    <w:p w:rsidR="004C7F6A" w:rsidRPr="003277CD" w:rsidRDefault="004C7F6A" w:rsidP="004C7F6A">
      <w:pPr>
        <w:spacing w:after="0"/>
        <w:jc w:val="both"/>
        <w:rPr>
          <w:rFonts w:ascii="Verdana" w:hAnsi="Verdana"/>
          <w:sz w:val="20"/>
          <w:szCs w:val="20"/>
        </w:rPr>
      </w:pPr>
    </w:p>
    <w:p w:rsidR="004C7F6A" w:rsidRPr="003277CD" w:rsidRDefault="004C7F6A" w:rsidP="004C7F6A">
      <w:pPr>
        <w:spacing w:after="0"/>
        <w:jc w:val="both"/>
        <w:rPr>
          <w:rFonts w:ascii="Verdana" w:hAnsi="Verdana"/>
          <w:i/>
          <w:sz w:val="20"/>
          <w:szCs w:val="20"/>
        </w:rPr>
      </w:pPr>
      <w:r w:rsidRPr="003277CD">
        <w:rPr>
          <w:rFonts w:ascii="Verdana" w:hAnsi="Verdana"/>
          <w:i/>
          <w:sz w:val="20"/>
          <w:szCs w:val="20"/>
        </w:rPr>
        <w:t xml:space="preserve">Refinancing of remaining debt into new long-term facility </w:t>
      </w:r>
      <w:r>
        <w:rPr>
          <w:rFonts w:ascii="Verdana" w:hAnsi="Verdana"/>
          <w:i/>
          <w:sz w:val="20"/>
          <w:szCs w:val="20"/>
        </w:rPr>
        <w:t>with existing lending</w:t>
      </w:r>
      <w:r w:rsidRPr="003277CD">
        <w:rPr>
          <w:rFonts w:ascii="Verdana" w:hAnsi="Verdana"/>
          <w:i/>
          <w:sz w:val="20"/>
          <w:szCs w:val="20"/>
        </w:rPr>
        <w:t xml:space="preserve"> banks</w:t>
      </w:r>
    </w:p>
    <w:p w:rsidR="004C7F6A" w:rsidRDefault="004C7F6A" w:rsidP="004C7F6A">
      <w:pPr>
        <w:spacing w:after="0"/>
        <w:jc w:val="both"/>
        <w:rPr>
          <w:rFonts w:ascii="Verdana" w:hAnsi="Verdana"/>
          <w:sz w:val="20"/>
          <w:szCs w:val="20"/>
        </w:rPr>
      </w:pPr>
      <w:r w:rsidRPr="003277CD">
        <w:rPr>
          <w:rFonts w:ascii="Verdana" w:hAnsi="Verdana"/>
          <w:sz w:val="20"/>
          <w:szCs w:val="20"/>
        </w:rPr>
        <w:t>The remaining debt of USD</w:t>
      </w:r>
      <w:r>
        <w:rPr>
          <w:rFonts w:ascii="Verdana" w:hAnsi="Verdana"/>
          <w:sz w:val="20"/>
          <w:szCs w:val="20"/>
        </w:rPr>
        <w:t xml:space="preserve"> </w:t>
      </w:r>
      <w:r w:rsidRPr="003277CD">
        <w:rPr>
          <w:rFonts w:ascii="Verdana" w:hAnsi="Verdana"/>
          <w:sz w:val="20"/>
          <w:szCs w:val="20"/>
        </w:rPr>
        <w:t>100</w:t>
      </w:r>
      <w:r>
        <w:rPr>
          <w:rFonts w:ascii="Verdana" w:hAnsi="Verdana"/>
          <w:sz w:val="20"/>
          <w:szCs w:val="20"/>
        </w:rPr>
        <w:t>.0</w:t>
      </w:r>
      <w:r w:rsidRPr="003277CD">
        <w:rPr>
          <w:rFonts w:ascii="Verdana" w:hAnsi="Verdana"/>
          <w:sz w:val="20"/>
          <w:szCs w:val="20"/>
        </w:rPr>
        <w:t xml:space="preserve"> million was re-financed into a new 7-year facility with no principal amortisation in the first year (Year 2014), subject to a cash sweep mechanism and new covenants.  Please see the discussion in the following section ‘Financing Agreements’ for additional details relating to the debt.</w:t>
      </w:r>
    </w:p>
    <w:p w:rsidR="004C7F6A" w:rsidRPr="003277CD" w:rsidRDefault="004C7F6A" w:rsidP="004C7F6A">
      <w:pPr>
        <w:spacing w:after="0" w:line="240" w:lineRule="auto"/>
        <w:jc w:val="both"/>
        <w:rPr>
          <w:rFonts w:ascii="Verdana" w:hAnsi="Verdana"/>
          <w:sz w:val="20"/>
          <w:szCs w:val="20"/>
        </w:rPr>
      </w:pPr>
    </w:p>
    <w:p w:rsidR="004C7F6A" w:rsidRPr="003277CD" w:rsidRDefault="004C7F6A" w:rsidP="004C7F6A">
      <w:pPr>
        <w:spacing w:after="0"/>
        <w:jc w:val="both"/>
        <w:rPr>
          <w:rFonts w:ascii="Verdana" w:hAnsi="Verdana"/>
          <w:i/>
          <w:sz w:val="20"/>
          <w:szCs w:val="20"/>
        </w:rPr>
      </w:pPr>
      <w:r w:rsidRPr="003277CD">
        <w:rPr>
          <w:rFonts w:ascii="Verdana" w:hAnsi="Verdana"/>
          <w:i/>
          <w:sz w:val="20"/>
          <w:szCs w:val="20"/>
        </w:rPr>
        <w:t>New capital injection</w:t>
      </w:r>
    </w:p>
    <w:p w:rsidR="004C7F6A" w:rsidRPr="003277CD" w:rsidRDefault="004C7F6A" w:rsidP="004C7F6A">
      <w:pPr>
        <w:spacing w:after="0"/>
        <w:jc w:val="both"/>
        <w:rPr>
          <w:rFonts w:ascii="Verdana" w:hAnsi="Verdana"/>
          <w:sz w:val="20"/>
          <w:szCs w:val="20"/>
        </w:rPr>
      </w:pPr>
      <w:r w:rsidRPr="003277CD">
        <w:rPr>
          <w:rFonts w:ascii="Verdana" w:hAnsi="Verdana"/>
          <w:sz w:val="20"/>
          <w:szCs w:val="20"/>
        </w:rPr>
        <w:t>Nordic Maritime also injected fresh capital of USD</w:t>
      </w:r>
      <w:r>
        <w:rPr>
          <w:rFonts w:ascii="Verdana" w:hAnsi="Verdana"/>
          <w:sz w:val="20"/>
          <w:szCs w:val="20"/>
        </w:rPr>
        <w:t xml:space="preserve"> </w:t>
      </w:r>
      <w:r w:rsidRPr="003277CD">
        <w:rPr>
          <w:rFonts w:ascii="Verdana" w:hAnsi="Verdana"/>
          <w:sz w:val="20"/>
          <w:szCs w:val="20"/>
        </w:rPr>
        <w:t>2</w:t>
      </w:r>
      <w:r>
        <w:rPr>
          <w:rFonts w:ascii="Verdana" w:hAnsi="Verdana"/>
          <w:sz w:val="20"/>
          <w:szCs w:val="20"/>
        </w:rPr>
        <w:t>.0</w:t>
      </w:r>
      <w:r w:rsidRPr="003277CD">
        <w:rPr>
          <w:rFonts w:ascii="Verdana" w:hAnsi="Verdana"/>
          <w:sz w:val="20"/>
          <w:szCs w:val="20"/>
        </w:rPr>
        <w:t xml:space="preserve"> million in cash as part of the restructuring.  This brings Nordic Maritime’s shareholding in the Company to 76.03%, the </w:t>
      </w:r>
      <w:r>
        <w:rPr>
          <w:rFonts w:ascii="Verdana" w:hAnsi="Verdana"/>
          <w:sz w:val="20"/>
          <w:szCs w:val="20"/>
        </w:rPr>
        <w:t>lending</w:t>
      </w:r>
      <w:r w:rsidRPr="003277CD">
        <w:rPr>
          <w:rFonts w:ascii="Verdana" w:hAnsi="Verdana"/>
          <w:sz w:val="20"/>
          <w:szCs w:val="20"/>
        </w:rPr>
        <w:t xml:space="preserve"> banks owns 14.38% and the original shareholders were diluted down to 9.59% of the enlarged shares issued.</w:t>
      </w:r>
    </w:p>
    <w:p w:rsidR="004C7F6A" w:rsidRDefault="004C7F6A" w:rsidP="004C7F6A">
      <w:pPr>
        <w:spacing w:after="0"/>
        <w:jc w:val="both"/>
        <w:rPr>
          <w:rFonts w:ascii="Verdana" w:hAnsi="Verdana"/>
          <w:i/>
          <w:sz w:val="20"/>
          <w:szCs w:val="20"/>
        </w:rPr>
      </w:pPr>
    </w:p>
    <w:p w:rsidR="004C7F6A" w:rsidRPr="003277CD" w:rsidRDefault="004C7F6A" w:rsidP="004C7F6A">
      <w:pPr>
        <w:spacing w:after="0"/>
        <w:jc w:val="both"/>
        <w:rPr>
          <w:rFonts w:ascii="Verdana" w:hAnsi="Verdana"/>
          <w:i/>
          <w:sz w:val="20"/>
          <w:szCs w:val="20"/>
        </w:rPr>
      </w:pPr>
      <w:r w:rsidRPr="003277CD">
        <w:rPr>
          <w:rFonts w:ascii="Verdana" w:hAnsi="Verdana"/>
          <w:i/>
          <w:sz w:val="20"/>
          <w:szCs w:val="20"/>
        </w:rPr>
        <w:t>New working capit</w:t>
      </w:r>
      <w:r>
        <w:rPr>
          <w:rFonts w:ascii="Verdana" w:hAnsi="Verdana"/>
          <w:i/>
          <w:sz w:val="20"/>
          <w:szCs w:val="20"/>
        </w:rPr>
        <w:t>al facility with existing lending</w:t>
      </w:r>
      <w:r w:rsidRPr="003277CD">
        <w:rPr>
          <w:rFonts w:ascii="Verdana" w:hAnsi="Verdana"/>
          <w:i/>
          <w:sz w:val="20"/>
          <w:szCs w:val="20"/>
        </w:rPr>
        <w:t xml:space="preserve"> banks</w:t>
      </w:r>
    </w:p>
    <w:p w:rsidR="004C7F6A" w:rsidRPr="003277CD" w:rsidRDefault="004C7F6A" w:rsidP="004C7F6A">
      <w:pPr>
        <w:spacing w:after="0"/>
        <w:jc w:val="both"/>
        <w:rPr>
          <w:rFonts w:ascii="Verdana" w:hAnsi="Verdana"/>
          <w:sz w:val="20"/>
          <w:szCs w:val="20"/>
        </w:rPr>
      </w:pPr>
      <w:r w:rsidRPr="003277CD">
        <w:rPr>
          <w:rFonts w:ascii="Verdana" w:hAnsi="Verdana"/>
          <w:sz w:val="20"/>
          <w:szCs w:val="20"/>
        </w:rPr>
        <w:t xml:space="preserve">As part of the </w:t>
      </w:r>
      <w:r w:rsidRPr="00B80F0A">
        <w:rPr>
          <w:rFonts w:ascii="Verdana" w:hAnsi="Verdana"/>
          <w:sz w:val="20"/>
          <w:szCs w:val="20"/>
        </w:rPr>
        <w:t>re-financed 7-year facility, a new 364-day USD</w:t>
      </w:r>
      <w:r>
        <w:rPr>
          <w:rFonts w:ascii="Verdana" w:hAnsi="Verdana"/>
          <w:sz w:val="20"/>
          <w:szCs w:val="20"/>
        </w:rPr>
        <w:t xml:space="preserve"> </w:t>
      </w:r>
      <w:r w:rsidRPr="00B80F0A">
        <w:rPr>
          <w:rFonts w:ascii="Verdana" w:hAnsi="Verdana"/>
          <w:sz w:val="20"/>
          <w:szCs w:val="20"/>
        </w:rPr>
        <w:t>4</w:t>
      </w:r>
      <w:r>
        <w:rPr>
          <w:rFonts w:ascii="Verdana" w:hAnsi="Verdana"/>
          <w:sz w:val="20"/>
          <w:szCs w:val="20"/>
        </w:rPr>
        <w:t>.0</w:t>
      </w:r>
      <w:r w:rsidRPr="00B80F0A">
        <w:rPr>
          <w:rFonts w:ascii="Verdana" w:hAnsi="Verdana"/>
          <w:sz w:val="20"/>
          <w:szCs w:val="20"/>
        </w:rPr>
        <w:t xml:space="preserve"> million working capital line was also available to the Group. This working capital</w:t>
      </w:r>
      <w:r w:rsidRPr="003277CD">
        <w:rPr>
          <w:rFonts w:ascii="Verdana" w:hAnsi="Verdana"/>
          <w:sz w:val="20"/>
          <w:szCs w:val="20"/>
        </w:rPr>
        <w:t xml:space="preserve"> facility was fully drawn on 19 December 2013. Please see the discussion in the following section ‘Financing Agreements’ for additional details relating to the working capital facility.</w:t>
      </w:r>
    </w:p>
    <w:p w:rsidR="004C7F6A" w:rsidRPr="003277CD" w:rsidRDefault="004C7F6A" w:rsidP="004C7F6A">
      <w:pPr>
        <w:rPr>
          <w:rFonts w:ascii="Verdana" w:hAnsi="Verdana"/>
          <w:sz w:val="20"/>
          <w:szCs w:val="20"/>
        </w:rPr>
      </w:pPr>
    </w:p>
    <w:p w:rsidR="004C7F6A" w:rsidRPr="003277CD" w:rsidRDefault="004C7F6A" w:rsidP="004C7F6A">
      <w:pPr>
        <w:rPr>
          <w:rFonts w:ascii="Verdana" w:hAnsi="Verdana"/>
          <w:sz w:val="20"/>
          <w:szCs w:val="20"/>
        </w:rPr>
      </w:pPr>
    </w:p>
    <w:p w:rsidR="004C7F6A" w:rsidRPr="003277CD" w:rsidRDefault="004C7F6A" w:rsidP="004C7F6A">
      <w:pPr>
        <w:jc w:val="both"/>
        <w:rPr>
          <w:rFonts w:ascii="Verdana" w:hAnsi="Verdana"/>
          <w:sz w:val="20"/>
          <w:szCs w:val="20"/>
        </w:rPr>
      </w:pPr>
    </w:p>
    <w:p w:rsidR="004C7F6A" w:rsidRDefault="004C7F6A" w:rsidP="004C7F6A">
      <w:pPr>
        <w:jc w:val="both"/>
        <w:rPr>
          <w:rFonts w:ascii="Verdana" w:hAnsi="Verdana" w:cstheme="minorHAnsi"/>
          <w:color w:val="000000"/>
          <w:sz w:val="20"/>
          <w:szCs w:val="20"/>
          <w:lang w:val="en-GB"/>
        </w:rPr>
      </w:pPr>
    </w:p>
    <w:p w:rsidR="000C30BB" w:rsidRDefault="000C30BB" w:rsidP="004C7F6A">
      <w:pPr>
        <w:jc w:val="both"/>
        <w:rPr>
          <w:rFonts w:ascii="Verdana" w:hAnsi="Verdana" w:cstheme="minorHAnsi"/>
          <w:color w:val="000000"/>
          <w:sz w:val="20"/>
          <w:szCs w:val="20"/>
          <w:lang w:val="en-GB"/>
        </w:rPr>
      </w:pPr>
    </w:p>
    <w:p w:rsidR="004C7F6A" w:rsidRDefault="004C7F6A" w:rsidP="004C7F6A">
      <w:pPr>
        <w:jc w:val="both"/>
        <w:rPr>
          <w:rFonts w:ascii="Verdana" w:hAnsi="Verdana" w:cstheme="minorHAnsi"/>
          <w:color w:val="000000"/>
          <w:sz w:val="20"/>
          <w:szCs w:val="20"/>
          <w:lang w:val="en-GB"/>
        </w:rPr>
      </w:pPr>
    </w:p>
    <w:p w:rsidR="004C7F6A" w:rsidRPr="003277CD" w:rsidRDefault="004C7F6A" w:rsidP="004C7F6A">
      <w:pPr>
        <w:spacing w:after="0"/>
        <w:jc w:val="both"/>
        <w:rPr>
          <w:rFonts w:ascii="Verdana" w:hAnsi="Verdana"/>
          <w:sz w:val="20"/>
          <w:szCs w:val="20"/>
        </w:rPr>
      </w:pPr>
      <w:r w:rsidRPr="003277CD">
        <w:rPr>
          <w:rFonts w:ascii="Verdana" w:hAnsi="Verdana"/>
          <w:sz w:val="20"/>
          <w:szCs w:val="20"/>
          <w:u w:val="single"/>
        </w:rPr>
        <w:t>Financing Agreements</w:t>
      </w:r>
    </w:p>
    <w:p w:rsidR="004C7F6A" w:rsidRDefault="004C7F6A" w:rsidP="004C7F6A">
      <w:pPr>
        <w:spacing w:after="0"/>
        <w:jc w:val="both"/>
        <w:rPr>
          <w:rFonts w:ascii="Verdana" w:hAnsi="Verdana"/>
          <w:sz w:val="20"/>
          <w:szCs w:val="20"/>
        </w:rPr>
      </w:pPr>
      <w:r w:rsidRPr="003277CD">
        <w:rPr>
          <w:rFonts w:ascii="Verdana" w:hAnsi="Verdana"/>
          <w:sz w:val="20"/>
          <w:szCs w:val="20"/>
        </w:rPr>
        <w:t>As part of the restructuring, the remaining debt was refinanced into a new USD</w:t>
      </w:r>
      <w:r>
        <w:rPr>
          <w:rFonts w:ascii="Verdana" w:hAnsi="Verdana"/>
          <w:sz w:val="20"/>
          <w:szCs w:val="20"/>
        </w:rPr>
        <w:t xml:space="preserve"> </w:t>
      </w:r>
      <w:r w:rsidRPr="003277CD">
        <w:rPr>
          <w:rFonts w:ascii="Verdana" w:hAnsi="Verdana"/>
          <w:sz w:val="20"/>
          <w:szCs w:val="20"/>
        </w:rPr>
        <w:t>100</w:t>
      </w:r>
      <w:r>
        <w:rPr>
          <w:rFonts w:ascii="Verdana" w:hAnsi="Verdana"/>
          <w:sz w:val="20"/>
          <w:szCs w:val="20"/>
        </w:rPr>
        <w:t>.0</w:t>
      </w:r>
      <w:r w:rsidRPr="003277CD">
        <w:rPr>
          <w:rFonts w:ascii="Verdana" w:hAnsi="Verdana"/>
          <w:sz w:val="20"/>
          <w:szCs w:val="20"/>
        </w:rPr>
        <w:t xml:space="preserve"> million facility (comprising two loans agreements).  As part of this new facility, there is also a USD</w:t>
      </w:r>
      <w:r>
        <w:rPr>
          <w:rFonts w:ascii="Verdana" w:hAnsi="Verdana"/>
          <w:sz w:val="20"/>
          <w:szCs w:val="20"/>
        </w:rPr>
        <w:t xml:space="preserve"> </w:t>
      </w:r>
      <w:r w:rsidRPr="003277CD">
        <w:rPr>
          <w:rFonts w:ascii="Verdana" w:hAnsi="Verdana"/>
          <w:sz w:val="20"/>
          <w:szCs w:val="20"/>
        </w:rPr>
        <w:t>4</w:t>
      </w:r>
      <w:r>
        <w:rPr>
          <w:rFonts w:ascii="Verdana" w:hAnsi="Verdana"/>
          <w:sz w:val="20"/>
          <w:szCs w:val="20"/>
        </w:rPr>
        <w:t>.0</w:t>
      </w:r>
      <w:r w:rsidRPr="003277CD">
        <w:rPr>
          <w:rFonts w:ascii="Verdana" w:hAnsi="Verdana"/>
          <w:sz w:val="20"/>
          <w:szCs w:val="20"/>
        </w:rPr>
        <w:t xml:space="preserve"> million working capital facility.  These facilities carry an interest of 3 or 6 month Libor plus a margin of 3% per annum.</w:t>
      </w:r>
    </w:p>
    <w:p w:rsidR="004C7F6A" w:rsidRPr="003277CD" w:rsidRDefault="004C7F6A" w:rsidP="004C7F6A">
      <w:pPr>
        <w:spacing w:after="0"/>
        <w:jc w:val="both"/>
        <w:rPr>
          <w:rFonts w:ascii="Verdana" w:hAnsi="Verdana"/>
          <w:sz w:val="20"/>
          <w:szCs w:val="20"/>
        </w:rPr>
      </w:pPr>
    </w:p>
    <w:p w:rsidR="004C7F6A" w:rsidRPr="003277CD" w:rsidRDefault="004C7F6A" w:rsidP="004C7F6A">
      <w:pPr>
        <w:spacing w:after="0"/>
        <w:jc w:val="both"/>
        <w:rPr>
          <w:rFonts w:ascii="Verdana" w:hAnsi="Verdana"/>
          <w:i/>
          <w:sz w:val="20"/>
          <w:szCs w:val="20"/>
        </w:rPr>
      </w:pPr>
      <w:r w:rsidRPr="003277CD">
        <w:rPr>
          <w:rFonts w:ascii="Verdana" w:hAnsi="Verdana"/>
          <w:i/>
          <w:sz w:val="20"/>
          <w:szCs w:val="20"/>
        </w:rPr>
        <w:t>Working capital repayment</w:t>
      </w:r>
    </w:p>
    <w:p w:rsidR="004C7F6A" w:rsidRPr="003277CD" w:rsidRDefault="004C7F6A" w:rsidP="004C7F6A">
      <w:pPr>
        <w:spacing w:after="0"/>
        <w:jc w:val="both"/>
        <w:rPr>
          <w:rFonts w:ascii="Verdana" w:hAnsi="Verdana"/>
          <w:sz w:val="20"/>
          <w:szCs w:val="20"/>
          <w:lang w:val="en-GB"/>
        </w:rPr>
      </w:pPr>
      <w:r w:rsidRPr="003277CD">
        <w:rPr>
          <w:rFonts w:ascii="Verdana" w:hAnsi="Verdana"/>
          <w:sz w:val="20"/>
          <w:szCs w:val="20"/>
          <w:lang w:val="en-GB"/>
        </w:rPr>
        <w:t xml:space="preserve">The </w:t>
      </w:r>
      <w:r w:rsidRPr="003277CD">
        <w:rPr>
          <w:rFonts w:ascii="Verdana" w:hAnsi="Verdana"/>
          <w:sz w:val="20"/>
          <w:szCs w:val="20"/>
        </w:rPr>
        <w:t>working capital facility</w:t>
      </w:r>
      <w:r w:rsidRPr="003277CD">
        <w:rPr>
          <w:rFonts w:ascii="Verdana" w:hAnsi="Verdana"/>
          <w:i/>
          <w:sz w:val="20"/>
          <w:szCs w:val="20"/>
        </w:rPr>
        <w:t xml:space="preserve"> </w:t>
      </w:r>
      <w:r w:rsidRPr="003277CD">
        <w:rPr>
          <w:rFonts w:ascii="Verdana" w:hAnsi="Verdana"/>
          <w:sz w:val="20"/>
          <w:szCs w:val="20"/>
          <w:lang w:val="en-GB"/>
        </w:rPr>
        <w:t xml:space="preserve">must be repaid in full no later than 18 December 2014.  </w:t>
      </w:r>
    </w:p>
    <w:p w:rsidR="004C7F6A" w:rsidRDefault="004C7F6A" w:rsidP="004C7F6A">
      <w:pPr>
        <w:spacing w:after="0"/>
        <w:jc w:val="both"/>
        <w:rPr>
          <w:rFonts w:ascii="Verdana" w:hAnsi="Verdana"/>
          <w:i/>
          <w:sz w:val="20"/>
          <w:szCs w:val="20"/>
        </w:rPr>
      </w:pPr>
    </w:p>
    <w:p w:rsidR="004C7F6A" w:rsidRPr="003277CD" w:rsidRDefault="004C7F6A" w:rsidP="004C7F6A">
      <w:pPr>
        <w:spacing w:after="0"/>
        <w:jc w:val="both"/>
        <w:rPr>
          <w:rFonts w:ascii="Verdana" w:hAnsi="Verdana"/>
          <w:sz w:val="20"/>
          <w:szCs w:val="20"/>
        </w:rPr>
      </w:pPr>
      <w:r w:rsidRPr="003277CD">
        <w:rPr>
          <w:rFonts w:ascii="Verdana" w:hAnsi="Verdana"/>
          <w:i/>
          <w:sz w:val="20"/>
          <w:szCs w:val="20"/>
        </w:rPr>
        <w:t>USD</w:t>
      </w:r>
      <w:r>
        <w:rPr>
          <w:rFonts w:ascii="Verdana" w:hAnsi="Verdana"/>
          <w:i/>
          <w:sz w:val="20"/>
          <w:szCs w:val="20"/>
        </w:rPr>
        <w:t xml:space="preserve"> </w:t>
      </w:r>
      <w:r w:rsidRPr="003277CD">
        <w:rPr>
          <w:rFonts w:ascii="Verdana" w:hAnsi="Verdana"/>
          <w:i/>
          <w:sz w:val="20"/>
          <w:szCs w:val="20"/>
        </w:rPr>
        <w:t>100</w:t>
      </w:r>
      <w:r>
        <w:rPr>
          <w:rFonts w:ascii="Verdana" w:hAnsi="Verdana"/>
          <w:i/>
          <w:sz w:val="20"/>
          <w:szCs w:val="20"/>
        </w:rPr>
        <w:t>.0</w:t>
      </w:r>
      <w:r w:rsidRPr="003277CD">
        <w:rPr>
          <w:rFonts w:ascii="Verdana" w:hAnsi="Verdana"/>
          <w:i/>
          <w:sz w:val="20"/>
          <w:szCs w:val="20"/>
        </w:rPr>
        <w:t xml:space="preserve"> million facility repayment</w:t>
      </w:r>
      <w:r w:rsidRPr="003277CD">
        <w:rPr>
          <w:rFonts w:ascii="Verdana" w:hAnsi="Verdana"/>
          <w:sz w:val="20"/>
          <w:szCs w:val="20"/>
        </w:rPr>
        <w:t xml:space="preserve"> </w:t>
      </w:r>
    </w:p>
    <w:p w:rsidR="004C7F6A" w:rsidRDefault="004C7F6A" w:rsidP="004C7F6A">
      <w:pPr>
        <w:spacing w:after="0"/>
        <w:jc w:val="both"/>
        <w:rPr>
          <w:rFonts w:ascii="Verdana" w:hAnsi="Verdana"/>
          <w:i/>
          <w:sz w:val="20"/>
          <w:szCs w:val="20"/>
          <w:lang w:val="en-GB"/>
        </w:rPr>
      </w:pPr>
      <w:r w:rsidRPr="003277CD">
        <w:rPr>
          <w:rFonts w:ascii="Verdana" w:hAnsi="Verdana"/>
          <w:sz w:val="20"/>
          <w:szCs w:val="20"/>
        </w:rPr>
        <w:t xml:space="preserve">The facility has a 7-year tenor and will </w:t>
      </w:r>
      <w:r w:rsidRPr="003277CD">
        <w:rPr>
          <w:rFonts w:ascii="Verdana" w:hAnsi="Verdana"/>
          <w:sz w:val="20"/>
          <w:szCs w:val="20"/>
          <w:lang w:val="en-GB"/>
        </w:rPr>
        <w:t xml:space="preserve">mature on 30 December 2020.  The facility carries no amortisation in Year 2014.  </w:t>
      </w:r>
    </w:p>
    <w:p w:rsidR="004C7F6A" w:rsidRDefault="004C7F6A" w:rsidP="004C7F6A">
      <w:pPr>
        <w:spacing w:after="0"/>
        <w:jc w:val="both"/>
        <w:rPr>
          <w:rFonts w:ascii="Verdana" w:hAnsi="Verdana"/>
          <w:i/>
          <w:sz w:val="20"/>
          <w:szCs w:val="20"/>
          <w:lang w:val="en-GB"/>
        </w:rPr>
      </w:pPr>
    </w:p>
    <w:p w:rsidR="004C7F6A" w:rsidRPr="003277CD" w:rsidRDefault="004C7F6A" w:rsidP="004C7F6A">
      <w:pPr>
        <w:spacing w:after="0"/>
        <w:jc w:val="both"/>
        <w:rPr>
          <w:rFonts w:ascii="Verdana" w:hAnsi="Verdana"/>
          <w:sz w:val="20"/>
          <w:szCs w:val="20"/>
          <w:lang w:val="en-GB"/>
        </w:rPr>
      </w:pPr>
      <w:r>
        <w:rPr>
          <w:rFonts w:ascii="Verdana" w:hAnsi="Verdana"/>
          <w:i/>
          <w:sz w:val="20"/>
          <w:szCs w:val="20"/>
          <w:lang w:val="en-GB"/>
        </w:rPr>
        <w:t>Cash sweep m</w:t>
      </w:r>
      <w:r w:rsidRPr="003277CD">
        <w:rPr>
          <w:rFonts w:ascii="Verdana" w:hAnsi="Verdana"/>
          <w:i/>
          <w:sz w:val="20"/>
          <w:szCs w:val="20"/>
          <w:lang w:val="en-GB"/>
        </w:rPr>
        <w:t>echanism</w:t>
      </w:r>
      <w:r w:rsidRPr="003277CD">
        <w:rPr>
          <w:rFonts w:ascii="Verdana" w:hAnsi="Verdana"/>
          <w:sz w:val="20"/>
          <w:szCs w:val="20"/>
          <w:lang w:val="en-GB"/>
        </w:rPr>
        <w:t xml:space="preserve"> </w:t>
      </w:r>
    </w:p>
    <w:p w:rsidR="004C7F6A" w:rsidRDefault="004C7F6A" w:rsidP="004C7F6A">
      <w:pPr>
        <w:spacing w:after="0"/>
        <w:jc w:val="both"/>
        <w:rPr>
          <w:rFonts w:ascii="Verdana" w:hAnsi="Verdana"/>
          <w:sz w:val="20"/>
          <w:szCs w:val="20"/>
          <w:lang w:val="en-GB"/>
        </w:rPr>
      </w:pPr>
      <w:r w:rsidRPr="003277CD">
        <w:rPr>
          <w:rFonts w:ascii="Verdana" w:hAnsi="Verdana"/>
          <w:sz w:val="20"/>
          <w:szCs w:val="20"/>
          <w:lang w:val="en-GB"/>
        </w:rPr>
        <w:t>On each interest payment date, after the payment of instalments and interest under the financing agreements, any cash and cash equivalents of the Group in excess of USD</w:t>
      </w:r>
      <w:r>
        <w:rPr>
          <w:rFonts w:ascii="Verdana" w:hAnsi="Verdana"/>
          <w:sz w:val="20"/>
          <w:szCs w:val="20"/>
          <w:lang w:val="en-GB"/>
        </w:rPr>
        <w:t xml:space="preserve"> </w:t>
      </w:r>
      <w:r w:rsidRPr="003277CD">
        <w:rPr>
          <w:rFonts w:ascii="Verdana" w:hAnsi="Verdana"/>
          <w:sz w:val="20"/>
          <w:szCs w:val="20"/>
          <w:lang w:val="en-GB"/>
        </w:rPr>
        <w:t>6</w:t>
      </w:r>
      <w:r>
        <w:rPr>
          <w:rFonts w:ascii="Verdana" w:hAnsi="Verdana"/>
          <w:sz w:val="20"/>
          <w:szCs w:val="20"/>
          <w:lang w:val="en-GB"/>
        </w:rPr>
        <w:t>.0 million</w:t>
      </w:r>
      <w:r w:rsidRPr="003277CD">
        <w:rPr>
          <w:rFonts w:ascii="Verdana" w:hAnsi="Verdana"/>
          <w:sz w:val="20"/>
          <w:szCs w:val="20"/>
          <w:lang w:val="en-GB"/>
        </w:rPr>
        <w:t xml:space="preserve"> (‘Excess Cash’) shall be applied towards prepayment of the facilities (repayment under the working capital facility takes priority over the USD</w:t>
      </w:r>
      <w:r>
        <w:rPr>
          <w:rFonts w:ascii="Verdana" w:hAnsi="Verdana"/>
          <w:sz w:val="20"/>
          <w:szCs w:val="20"/>
          <w:lang w:val="en-GB"/>
        </w:rPr>
        <w:t xml:space="preserve"> </w:t>
      </w:r>
      <w:r w:rsidRPr="003277CD">
        <w:rPr>
          <w:rFonts w:ascii="Verdana" w:hAnsi="Verdana"/>
          <w:sz w:val="20"/>
          <w:szCs w:val="20"/>
          <w:lang w:val="en-GB"/>
        </w:rPr>
        <w:t>100</w:t>
      </w:r>
      <w:r>
        <w:rPr>
          <w:rFonts w:ascii="Verdana" w:hAnsi="Verdana"/>
          <w:sz w:val="20"/>
          <w:szCs w:val="20"/>
          <w:lang w:val="en-GB"/>
        </w:rPr>
        <w:t>.0</w:t>
      </w:r>
      <w:r w:rsidRPr="003277CD">
        <w:rPr>
          <w:rFonts w:ascii="Verdana" w:hAnsi="Verdana"/>
          <w:sz w:val="20"/>
          <w:szCs w:val="20"/>
          <w:lang w:val="en-GB"/>
        </w:rPr>
        <w:t xml:space="preserve"> million facility)</w:t>
      </w:r>
      <w:r>
        <w:rPr>
          <w:rFonts w:ascii="Verdana" w:hAnsi="Verdana"/>
          <w:sz w:val="20"/>
          <w:szCs w:val="20"/>
          <w:lang w:val="en-GB"/>
        </w:rPr>
        <w:t>.</w:t>
      </w:r>
    </w:p>
    <w:p w:rsidR="004C7F6A" w:rsidRDefault="004C7F6A" w:rsidP="004C7F6A">
      <w:pPr>
        <w:spacing w:after="0"/>
        <w:jc w:val="both"/>
        <w:rPr>
          <w:rFonts w:ascii="Verdana" w:hAnsi="Verdana"/>
          <w:i/>
          <w:iCs/>
          <w:sz w:val="20"/>
          <w:szCs w:val="20"/>
        </w:rPr>
      </w:pPr>
    </w:p>
    <w:p w:rsidR="004C7F6A" w:rsidRDefault="004C7F6A" w:rsidP="004C7F6A">
      <w:pPr>
        <w:spacing w:after="0"/>
        <w:jc w:val="both"/>
        <w:rPr>
          <w:rFonts w:ascii="Verdana" w:hAnsi="Verdana"/>
          <w:i/>
          <w:iCs/>
          <w:sz w:val="20"/>
          <w:szCs w:val="20"/>
        </w:rPr>
      </w:pPr>
      <w:r w:rsidRPr="00695E68">
        <w:rPr>
          <w:rFonts w:ascii="Verdana" w:hAnsi="Verdana"/>
          <w:i/>
          <w:iCs/>
          <w:sz w:val="20"/>
          <w:szCs w:val="20"/>
        </w:rPr>
        <w:t>Change of control clause</w:t>
      </w:r>
    </w:p>
    <w:p w:rsidR="004C7F6A" w:rsidRDefault="004C7F6A" w:rsidP="004C7F6A">
      <w:pPr>
        <w:spacing w:after="0"/>
        <w:jc w:val="both"/>
        <w:rPr>
          <w:rFonts w:ascii="Verdana" w:hAnsi="Verdana"/>
          <w:sz w:val="20"/>
          <w:szCs w:val="20"/>
        </w:rPr>
      </w:pPr>
      <w:r>
        <w:rPr>
          <w:rFonts w:ascii="Verdana" w:hAnsi="Verdana"/>
          <w:sz w:val="20"/>
          <w:szCs w:val="20"/>
        </w:rPr>
        <w:t>The loan agreements include</w:t>
      </w:r>
      <w:r w:rsidRPr="00695E68">
        <w:rPr>
          <w:rFonts w:ascii="Verdana" w:hAnsi="Verdana"/>
          <w:sz w:val="20"/>
          <w:szCs w:val="20"/>
        </w:rPr>
        <w:t xml:space="preserve"> change of control clauses, whereby the finance loans fall due by a change of cont</w:t>
      </w:r>
      <w:r>
        <w:rPr>
          <w:rFonts w:ascii="Verdana" w:hAnsi="Verdana"/>
          <w:sz w:val="20"/>
          <w:szCs w:val="20"/>
        </w:rPr>
        <w:t>rolling interest in the Company,</w:t>
      </w:r>
      <w:r w:rsidRPr="00695E68">
        <w:rPr>
          <w:rFonts w:ascii="Verdana" w:hAnsi="Verdana"/>
          <w:sz w:val="20"/>
          <w:szCs w:val="20"/>
        </w:rPr>
        <w:t xml:space="preserve"> change of more than 33% of the outstanding shares or voting rights, or change of more than 25% of the outstanding shares or voting rights combined with a change in the me</w:t>
      </w:r>
      <w:r>
        <w:rPr>
          <w:rFonts w:ascii="Verdana" w:hAnsi="Verdana"/>
          <w:sz w:val="20"/>
          <w:szCs w:val="20"/>
        </w:rPr>
        <w:t>mbers of the Board of Directors.</w:t>
      </w:r>
    </w:p>
    <w:p w:rsidR="004C7F6A" w:rsidRPr="00695E68" w:rsidRDefault="004C7F6A" w:rsidP="004C7F6A">
      <w:pPr>
        <w:spacing w:after="0"/>
        <w:jc w:val="both"/>
        <w:rPr>
          <w:rFonts w:ascii="Verdana" w:hAnsi="Verdana"/>
          <w:i/>
          <w:iCs/>
          <w:sz w:val="20"/>
          <w:szCs w:val="20"/>
        </w:rPr>
      </w:pPr>
    </w:p>
    <w:p w:rsidR="004C7F6A" w:rsidRPr="003277CD" w:rsidRDefault="004C7F6A" w:rsidP="004C7F6A">
      <w:pPr>
        <w:spacing w:after="0"/>
        <w:jc w:val="both"/>
        <w:rPr>
          <w:rFonts w:ascii="Verdana" w:hAnsi="Verdana"/>
          <w:i/>
          <w:sz w:val="20"/>
          <w:szCs w:val="20"/>
        </w:rPr>
      </w:pPr>
      <w:r w:rsidRPr="003277CD">
        <w:rPr>
          <w:rFonts w:ascii="Verdana" w:hAnsi="Verdana"/>
          <w:i/>
          <w:sz w:val="20"/>
          <w:szCs w:val="20"/>
        </w:rPr>
        <w:t>Covenants/undertakings</w:t>
      </w:r>
    </w:p>
    <w:p w:rsidR="004C7F6A" w:rsidRPr="003277CD" w:rsidRDefault="004C7F6A" w:rsidP="004C7F6A">
      <w:pPr>
        <w:spacing w:after="0"/>
        <w:jc w:val="both"/>
        <w:rPr>
          <w:rFonts w:ascii="Verdana" w:hAnsi="Verdana"/>
          <w:sz w:val="20"/>
          <w:szCs w:val="20"/>
        </w:rPr>
      </w:pPr>
      <w:r w:rsidRPr="003277CD">
        <w:rPr>
          <w:rFonts w:ascii="Verdana" w:hAnsi="Verdana"/>
          <w:sz w:val="20"/>
          <w:szCs w:val="20"/>
        </w:rPr>
        <w:t>The main covenants/undertakings are:</w:t>
      </w:r>
    </w:p>
    <w:p w:rsidR="004C7F6A" w:rsidRDefault="004C7F6A" w:rsidP="004C7F6A">
      <w:pPr>
        <w:pStyle w:val="ListParagraph"/>
        <w:numPr>
          <w:ilvl w:val="0"/>
          <w:numId w:val="29"/>
        </w:numPr>
        <w:spacing w:line="276" w:lineRule="auto"/>
        <w:ind w:left="720"/>
        <w:jc w:val="both"/>
        <w:rPr>
          <w:rFonts w:ascii="Verdana" w:hAnsi="Verdana"/>
          <w:sz w:val="20"/>
          <w:szCs w:val="20"/>
        </w:rPr>
      </w:pPr>
      <w:r w:rsidRPr="00D66BD5">
        <w:rPr>
          <w:rFonts w:ascii="Verdana" w:hAnsi="Verdana"/>
          <w:sz w:val="20"/>
          <w:szCs w:val="20"/>
        </w:rPr>
        <w:t>Minimum liquidity: Starting from 19 December 2014, the Group must maintain at least USD</w:t>
      </w:r>
      <w:r>
        <w:rPr>
          <w:rFonts w:ascii="Verdana" w:hAnsi="Verdana"/>
          <w:sz w:val="20"/>
          <w:szCs w:val="20"/>
        </w:rPr>
        <w:t xml:space="preserve"> </w:t>
      </w:r>
      <w:r w:rsidRPr="00D66BD5">
        <w:rPr>
          <w:rFonts w:ascii="Verdana" w:hAnsi="Verdana"/>
          <w:sz w:val="20"/>
          <w:szCs w:val="20"/>
        </w:rPr>
        <w:t>3</w:t>
      </w:r>
      <w:r>
        <w:rPr>
          <w:rFonts w:ascii="Verdana" w:hAnsi="Verdana"/>
          <w:sz w:val="20"/>
          <w:szCs w:val="20"/>
        </w:rPr>
        <w:t>.0</w:t>
      </w:r>
      <w:r w:rsidRPr="00D66BD5">
        <w:rPr>
          <w:rFonts w:ascii="Verdana" w:hAnsi="Verdana"/>
          <w:sz w:val="20"/>
          <w:szCs w:val="20"/>
        </w:rPr>
        <w:t xml:space="preserve"> million in cash or cash equivalent</w:t>
      </w:r>
      <w:r>
        <w:rPr>
          <w:rFonts w:ascii="Verdana" w:hAnsi="Verdana"/>
          <w:sz w:val="20"/>
          <w:szCs w:val="20"/>
        </w:rPr>
        <w:t>;</w:t>
      </w:r>
    </w:p>
    <w:p w:rsidR="004C7F6A" w:rsidRDefault="004C7F6A" w:rsidP="004C7F6A">
      <w:pPr>
        <w:pStyle w:val="ListParagraph"/>
        <w:numPr>
          <w:ilvl w:val="0"/>
          <w:numId w:val="29"/>
        </w:numPr>
        <w:spacing w:line="276" w:lineRule="auto"/>
        <w:ind w:left="720"/>
        <w:jc w:val="both"/>
        <w:rPr>
          <w:rFonts w:ascii="Verdana" w:hAnsi="Verdana"/>
          <w:sz w:val="20"/>
          <w:szCs w:val="20"/>
        </w:rPr>
      </w:pPr>
      <w:r w:rsidRPr="003277CD">
        <w:rPr>
          <w:rFonts w:ascii="Verdana" w:hAnsi="Verdana"/>
          <w:sz w:val="20"/>
          <w:szCs w:val="20"/>
        </w:rPr>
        <w:t>Minimum value clause</w:t>
      </w:r>
      <w:r>
        <w:rPr>
          <w:rFonts w:ascii="Verdana" w:hAnsi="Verdana"/>
          <w:sz w:val="20"/>
          <w:szCs w:val="20"/>
        </w:rPr>
        <w:t xml:space="preserve">s; </w:t>
      </w:r>
    </w:p>
    <w:p w:rsidR="004C7F6A" w:rsidRDefault="004C7F6A" w:rsidP="004C7F6A">
      <w:pPr>
        <w:pStyle w:val="ListParagraph"/>
        <w:numPr>
          <w:ilvl w:val="0"/>
          <w:numId w:val="29"/>
        </w:numPr>
        <w:spacing w:line="276" w:lineRule="auto"/>
        <w:ind w:left="720" w:right="-1"/>
        <w:jc w:val="both"/>
        <w:rPr>
          <w:rFonts w:ascii="Verdana" w:hAnsi="Verdana"/>
          <w:sz w:val="20"/>
          <w:szCs w:val="20"/>
        </w:rPr>
      </w:pPr>
      <w:r w:rsidRPr="003277CD">
        <w:rPr>
          <w:rFonts w:ascii="Verdana" w:hAnsi="Verdana"/>
          <w:sz w:val="20"/>
          <w:szCs w:val="20"/>
        </w:rPr>
        <w:t>Equity ratio</w:t>
      </w:r>
      <w:r>
        <w:rPr>
          <w:rFonts w:ascii="Verdana" w:hAnsi="Verdana"/>
          <w:sz w:val="20"/>
          <w:szCs w:val="20"/>
        </w:rPr>
        <w:t>.</w:t>
      </w:r>
      <w:r w:rsidRPr="003277CD" w:rsidDel="00A21BAB">
        <w:rPr>
          <w:rFonts w:ascii="Verdana" w:hAnsi="Verdana"/>
          <w:sz w:val="20"/>
          <w:szCs w:val="20"/>
        </w:rPr>
        <w:t xml:space="preserve"> </w:t>
      </w:r>
    </w:p>
    <w:p w:rsidR="004C7F6A" w:rsidRDefault="004C7F6A" w:rsidP="004C7F6A">
      <w:pPr>
        <w:spacing w:after="0"/>
        <w:jc w:val="both"/>
        <w:rPr>
          <w:rFonts w:ascii="Verdana" w:hAnsi="Verdana"/>
          <w:sz w:val="20"/>
          <w:szCs w:val="20"/>
        </w:rPr>
      </w:pPr>
    </w:p>
    <w:p w:rsidR="004C7F6A" w:rsidRDefault="004C7F6A" w:rsidP="004C7F6A">
      <w:pPr>
        <w:spacing w:after="0"/>
        <w:jc w:val="both"/>
        <w:rPr>
          <w:rFonts w:ascii="Verdana" w:hAnsi="Verdana"/>
          <w:sz w:val="20"/>
          <w:szCs w:val="20"/>
        </w:rPr>
      </w:pPr>
    </w:p>
    <w:p w:rsidR="004C7F6A" w:rsidRPr="00B31051" w:rsidRDefault="004C7F6A" w:rsidP="004C7F6A">
      <w:pPr>
        <w:spacing w:after="0"/>
        <w:jc w:val="both"/>
        <w:rPr>
          <w:rFonts w:ascii="Verdana" w:hAnsi="Verdana"/>
          <w:sz w:val="20"/>
          <w:szCs w:val="20"/>
          <w:u w:val="single"/>
        </w:rPr>
      </w:pPr>
      <w:r>
        <w:rPr>
          <w:rFonts w:ascii="Verdana" w:hAnsi="Verdana"/>
          <w:sz w:val="20"/>
          <w:szCs w:val="20"/>
          <w:u w:val="single"/>
        </w:rPr>
        <w:t>Forecast</w:t>
      </w:r>
      <w:r w:rsidRPr="00B31051">
        <w:rPr>
          <w:rFonts w:ascii="Verdana" w:hAnsi="Verdana"/>
          <w:sz w:val="20"/>
          <w:szCs w:val="20"/>
          <w:u w:val="single"/>
        </w:rPr>
        <w:t xml:space="preserve"> for 2014</w:t>
      </w:r>
    </w:p>
    <w:p w:rsidR="004C7F6A" w:rsidRPr="00B31051" w:rsidRDefault="004C7F6A" w:rsidP="004C7F6A">
      <w:pPr>
        <w:spacing w:after="0"/>
        <w:jc w:val="both"/>
        <w:rPr>
          <w:rFonts w:ascii="Verdana" w:hAnsi="Verdana"/>
          <w:sz w:val="20"/>
          <w:szCs w:val="20"/>
        </w:rPr>
      </w:pPr>
      <w:r w:rsidRPr="00B31051">
        <w:rPr>
          <w:rFonts w:ascii="Verdana" w:hAnsi="Verdana"/>
          <w:sz w:val="20"/>
          <w:szCs w:val="20"/>
        </w:rPr>
        <w:t xml:space="preserve">The following assumptions were used for the </w:t>
      </w:r>
      <w:r>
        <w:rPr>
          <w:rFonts w:ascii="Verdana" w:hAnsi="Verdana"/>
          <w:sz w:val="20"/>
          <w:szCs w:val="20"/>
        </w:rPr>
        <w:t>forecast</w:t>
      </w:r>
      <w:r w:rsidRPr="00B31051">
        <w:rPr>
          <w:rFonts w:ascii="Verdana" w:hAnsi="Verdana"/>
          <w:sz w:val="20"/>
          <w:szCs w:val="20"/>
        </w:rPr>
        <w:t xml:space="preserve"> for 2014:</w:t>
      </w:r>
    </w:p>
    <w:p w:rsidR="004C7F6A" w:rsidRPr="00B31051" w:rsidRDefault="004C7F6A" w:rsidP="004C7F6A">
      <w:pPr>
        <w:pStyle w:val="ListParagraph"/>
        <w:numPr>
          <w:ilvl w:val="0"/>
          <w:numId w:val="29"/>
        </w:numPr>
        <w:spacing w:line="276" w:lineRule="auto"/>
        <w:ind w:left="720"/>
        <w:jc w:val="both"/>
        <w:rPr>
          <w:rFonts w:ascii="Verdana" w:hAnsi="Verdana"/>
          <w:sz w:val="20"/>
          <w:szCs w:val="20"/>
        </w:rPr>
      </w:pPr>
      <w:r w:rsidRPr="00B31051">
        <w:rPr>
          <w:rFonts w:ascii="Verdana" w:hAnsi="Verdana"/>
          <w:sz w:val="20"/>
          <w:szCs w:val="20"/>
        </w:rPr>
        <w:t>The fleet size remains and employment of the 6 vessels remain unc</w:t>
      </w:r>
      <w:r>
        <w:rPr>
          <w:rFonts w:ascii="Verdana" w:hAnsi="Verdana"/>
          <w:sz w:val="20"/>
          <w:szCs w:val="20"/>
        </w:rPr>
        <w:t>hanged (5 vessels in the Handyt</w:t>
      </w:r>
      <w:r w:rsidRPr="00B31051">
        <w:rPr>
          <w:rFonts w:ascii="Verdana" w:hAnsi="Verdana"/>
          <w:sz w:val="20"/>
          <w:szCs w:val="20"/>
        </w:rPr>
        <w:t>ankers pool and 1 vessel in the Straits Tankers pool).</w:t>
      </w:r>
    </w:p>
    <w:p w:rsidR="004C7F6A" w:rsidRPr="00B31051" w:rsidRDefault="004C7F6A" w:rsidP="004C7F6A">
      <w:pPr>
        <w:pStyle w:val="ListParagraph"/>
        <w:numPr>
          <w:ilvl w:val="0"/>
          <w:numId w:val="29"/>
        </w:numPr>
        <w:spacing w:line="276" w:lineRule="auto"/>
        <w:ind w:left="720"/>
        <w:jc w:val="both"/>
        <w:rPr>
          <w:rFonts w:ascii="Verdana" w:hAnsi="Verdana"/>
          <w:sz w:val="20"/>
          <w:szCs w:val="20"/>
        </w:rPr>
      </w:pPr>
      <w:r w:rsidRPr="00B31051">
        <w:rPr>
          <w:rFonts w:ascii="Verdana" w:hAnsi="Verdana"/>
          <w:sz w:val="20"/>
          <w:szCs w:val="20"/>
        </w:rPr>
        <w:t xml:space="preserve">Estimated daily time-charter equivalent rates </w:t>
      </w:r>
      <w:r>
        <w:rPr>
          <w:rFonts w:ascii="Verdana" w:hAnsi="Verdana"/>
          <w:sz w:val="20"/>
          <w:szCs w:val="20"/>
        </w:rPr>
        <w:t xml:space="preserve">were provided by the respective pools. For the </w:t>
      </w:r>
      <w:r w:rsidR="005E609A">
        <w:rPr>
          <w:rFonts w:ascii="Verdana" w:hAnsi="Verdana"/>
          <w:sz w:val="20"/>
          <w:szCs w:val="20"/>
        </w:rPr>
        <w:t>h</w:t>
      </w:r>
      <w:r>
        <w:rPr>
          <w:rFonts w:ascii="Verdana" w:hAnsi="Verdana"/>
          <w:sz w:val="20"/>
          <w:szCs w:val="20"/>
        </w:rPr>
        <w:t>andy</w:t>
      </w:r>
      <w:r w:rsidR="005E609A">
        <w:rPr>
          <w:rFonts w:ascii="Verdana" w:hAnsi="Verdana"/>
          <w:sz w:val="20"/>
          <w:szCs w:val="20"/>
        </w:rPr>
        <w:t xml:space="preserve"> </w:t>
      </w:r>
      <w:r>
        <w:rPr>
          <w:rFonts w:ascii="Verdana" w:hAnsi="Verdana"/>
          <w:sz w:val="20"/>
          <w:szCs w:val="20"/>
        </w:rPr>
        <w:t>tankers, the TCE rate was</w:t>
      </w:r>
      <w:r w:rsidRPr="00B31051">
        <w:rPr>
          <w:rFonts w:ascii="Verdana" w:hAnsi="Verdana"/>
          <w:sz w:val="20"/>
          <w:szCs w:val="20"/>
        </w:rPr>
        <w:t xml:space="preserve"> </w:t>
      </w:r>
      <w:r>
        <w:rPr>
          <w:rFonts w:ascii="Verdana" w:hAnsi="Verdana"/>
          <w:sz w:val="20"/>
          <w:szCs w:val="20"/>
        </w:rPr>
        <w:t xml:space="preserve">around </w:t>
      </w:r>
      <w:r w:rsidRPr="00B31051">
        <w:rPr>
          <w:rFonts w:ascii="Verdana" w:hAnsi="Verdana"/>
          <w:sz w:val="20"/>
          <w:szCs w:val="20"/>
        </w:rPr>
        <w:t xml:space="preserve">USD 14,000 </w:t>
      </w:r>
      <w:r>
        <w:rPr>
          <w:rFonts w:ascii="Verdana" w:hAnsi="Verdana"/>
          <w:sz w:val="20"/>
          <w:szCs w:val="20"/>
        </w:rPr>
        <w:t>(+ 11.0% or USD 1,394 against average 2013 rates). For the LR1 vessel, the TCE rate was around</w:t>
      </w:r>
      <w:r w:rsidR="005A3ECB">
        <w:rPr>
          <w:rFonts w:ascii="Verdana" w:hAnsi="Verdana"/>
          <w:sz w:val="20"/>
          <w:szCs w:val="20"/>
        </w:rPr>
        <w:t xml:space="preserve"> USD 15,200 (+ 5.9% or USD 8</w:t>
      </w:r>
      <w:r>
        <w:rPr>
          <w:rFonts w:ascii="Verdana" w:hAnsi="Verdana"/>
          <w:sz w:val="20"/>
          <w:szCs w:val="20"/>
        </w:rPr>
        <w:t>46 against average 2013 rates).</w:t>
      </w:r>
    </w:p>
    <w:p w:rsidR="004C7F6A" w:rsidRPr="00B31051" w:rsidRDefault="004C7F6A" w:rsidP="004C7F6A">
      <w:pPr>
        <w:pStyle w:val="ListParagraph"/>
        <w:numPr>
          <w:ilvl w:val="0"/>
          <w:numId w:val="29"/>
        </w:numPr>
        <w:spacing w:line="276" w:lineRule="auto"/>
        <w:ind w:left="720"/>
        <w:jc w:val="both"/>
        <w:rPr>
          <w:rFonts w:ascii="Verdana" w:hAnsi="Verdana"/>
          <w:sz w:val="20"/>
          <w:szCs w:val="20"/>
        </w:rPr>
      </w:pPr>
      <w:r w:rsidRPr="00B31051">
        <w:rPr>
          <w:rFonts w:ascii="Verdana" w:hAnsi="Verdana"/>
          <w:sz w:val="20"/>
          <w:szCs w:val="20"/>
        </w:rPr>
        <w:t xml:space="preserve">Operating expenditure </w:t>
      </w:r>
      <w:r>
        <w:rPr>
          <w:rFonts w:ascii="Verdana" w:hAnsi="Verdana"/>
          <w:sz w:val="20"/>
          <w:szCs w:val="20"/>
        </w:rPr>
        <w:t>is</w:t>
      </w:r>
      <w:r w:rsidRPr="00B31051">
        <w:rPr>
          <w:rFonts w:ascii="Verdana" w:hAnsi="Verdana"/>
          <w:sz w:val="20"/>
          <w:szCs w:val="20"/>
        </w:rPr>
        <w:t xml:space="preserve"> based on the respective technical managers’ 2014 budgets.</w:t>
      </w:r>
      <w:r>
        <w:rPr>
          <w:rFonts w:ascii="Verdana" w:hAnsi="Verdana"/>
          <w:sz w:val="20"/>
          <w:szCs w:val="20"/>
        </w:rPr>
        <w:t xml:space="preserve"> The estimated average daily </w:t>
      </w:r>
      <w:r w:rsidR="001A4CB1">
        <w:rPr>
          <w:rFonts w:ascii="Verdana" w:hAnsi="Verdana"/>
          <w:sz w:val="20"/>
          <w:szCs w:val="20"/>
        </w:rPr>
        <w:t>o</w:t>
      </w:r>
      <w:r w:rsidR="001A4CB1" w:rsidRPr="00B31051">
        <w:rPr>
          <w:rFonts w:ascii="Verdana" w:hAnsi="Verdana"/>
          <w:sz w:val="20"/>
          <w:szCs w:val="20"/>
        </w:rPr>
        <w:t>perating expenditure</w:t>
      </w:r>
      <w:r>
        <w:rPr>
          <w:rFonts w:ascii="Verdana" w:hAnsi="Verdana"/>
          <w:sz w:val="20"/>
          <w:szCs w:val="20"/>
        </w:rPr>
        <w:t xml:space="preserve"> is forecasted at around USD 6,384 (-17.3% or USD 1,338 against 2013 daily rates).</w:t>
      </w:r>
    </w:p>
    <w:p w:rsidR="004C7F6A" w:rsidRPr="00B31051" w:rsidRDefault="004C7F6A" w:rsidP="004C7F6A">
      <w:pPr>
        <w:pStyle w:val="ListParagraph"/>
        <w:numPr>
          <w:ilvl w:val="0"/>
          <w:numId w:val="29"/>
        </w:numPr>
        <w:spacing w:line="276" w:lineRule="auto"/>
        <w:ind w:left="720"/>
        <w:jc w:val="both"/>
        <w:rPr>
          <w:rFonts w:ascii="Verdana" w:hAnsi="Verdana"/>
          <w:sz w:val="20"/>
          <w:szCs w:val="20"/>
        </w:rPr>
      </w:pPr>
      <w:r w:rsidRPr="00B31051">
        <w:rPr>
          <w:rFonts w:ascii="Verdana" w:hAnsi="Verdana"/>
          <w:sz w:val="20"/>
          <w:szCs w:val="20"/>
        </w:rPr>
        <w:t>Estimated dry docking costs as advised by</w:t>
      </w:r>
      <w:r>
        <w:rPr>
          <w:rFonts w:ascii="Verdana" w:hAnsi="Verdana"/>
          <w:sz w:val="20"/>
          <w:szCs w:val="20"/>
        </w:rPr>
        <w:t xml:space="preserve"> the respective technical managers.</w:t>
      </w:r>
    </w:p>
    <w:p w:rsidR="004C7F6A" w:rsidRPr="00B31051" w:rsidRDefault="004C7F6A" w:rsidP="004C7F6A">
      <w:pPr>
        <w:pStyle w:val="ListParagraph"/>
        <w:numPr>
          <w:ilvl w:val="0"/>
          <w:numId w:val="29"/>
        </w:numPr>
        <w:spacing w:line="276" w:lineRule="auto"/>
        <w:ind w:left="720"/>
        <w:jc w:val="both"/>
        <w:rPr>
          <w:rFonts w:ascii="Verdana" w:hAnsi="Verdana"/>
          <w:sz w:val="20"/>
          <w:szCs w:val="20"/>
        </w:rPr>
      </w:pPr>
      <w:r w:rsidRPr="00B31051">
        <w:rPr>
          <w:rFonts w:ascii="Verdana" w:hAnsi="Verdana"/>
          <w:sz w:val="20"/>
          <w:szCs w:val="20"/>
        </w:rPr>
        <w:t>Interest expense is based on a 3 month LIBOR of 0.5%.</w:t>
      </w:r>
    </w:p>
    <w:p w:rsidR="004C7F6A" w:rsidRDefault="004C7F6A" w:rsidP="004C7F6A">
      <w:pPr>
        <w:tabs>
          <w:tab w:val="left" w:pos="720"/>
          <w:tab w:val="left" w:pos="1264"/>
        </w:tabs>
        <w:spacing w:after="0"/>
        <w:rPr>
          <w:rFonts w:ascii="Verdana" w:hAnsi="Verdana"/>
          <w:sz w:val="20"/>
          <w:szCs w:val="20"/>
          <w:u w:val="single"/>
        </w:rPr>
      </w:pPr>
    </w:p>
    <w:p w:rsidR="004C7F6A" w:rsidRDefault="004C7F6A" w:rsidP="004C7F6A">
      <w:pPr>
        <w:tabs>
          <w:tab w:val="left" w:pos="720"/>
          <w:tab w:val="left" w:pos="1264"/>
        </w:tabs>
        <w:spacing w:after="0"/>
        <w:rPr>
          <w:rFonts w:ascii="Verdana" w:hAnsi="Verdana"/>
          <w:sz w:val="20"/>
          <w:szCs w:val="20"/>
          <w:u w:val="single"/>
        </w:rPr>
      </w:pPr>
    </w:p>
    <w:p w:rsidR="004C7F6A" w:rsidRDefault="004C7F6A" w:rsidP="004C7F6A">
      <w:pPr>
        <w:tabs>
          <w:tab w:val="left" w:pos="720"/>
          <w:tab w:val="left" w:pos="1264"/>
        </w:tabs>
        <w:spacing w:after="0"/>
        <w:rPr>
          <w:rFonts w:ascii="Verdana" w:hAnsi="Verdana"/>
          <w:sz w:val="20"/>
          <w:szCs w:val="20"/>
          <w:u w:val="single"/>
        </w:rPr>
      </w:pPr>
    </w:p>
    <w:p w:rsidR="004C7F6A" w:rsidRDefault="004C7F6A" w:rsidP="004C7F6A">
      <w:pPr>
        <w:tabs>
          <w:tab w:val="left" w:pos="720"/>
          <w:tab w:val="left" w:pos="1264"/>
        </w:tabs>
        <w:spacing w:after="0"/>
        <w:rPr>
          <w:rFonts w:ascii="Verdana" w:hAnsi="Verdana"/>
          <w:sz w:val="20"/>
          <w:szCs w:val="20"/>
          <w:u w:val="single"/>
        </w:rPr>
      </w:pPr>
    </w:p>
    <w:p w:rsidR="004C7F6A" w:rsidRDefault="004C7F6A" w:rsidP="004C7F6A">
      <w:pPr>
        <w:tabs>
          <w:tab w:val="left" w:pos="720"/>
          <w:tab w:val="left" w:pos="1264"/>
        </w:tabs>
        <w:spacing w:after="0"/>
        <w:rPr>
          <w:rFonts w:ascii="Verdana" w:hAnsi="Verdana"/>
          <w:sz w:val="20"/>
          <w:szCs w:val="20"/>
          <w:u w:val="single"/>
        </w:rPr>
      </w:pPr>
    </w:p>
    <w:p w:rsidR="004C7F6A" w:rsidRDefault="004C7F6A" w:rsidP="004C7F6A">
      <w:pPr>
        <w:tabs>
          <w:tab w:val="left" w:pos="720"/>
          <w:tab w:val="left" w:pos="1264"/>
        </w:tabs>
        <w:spacing w:after="0"/>
        <w:rPr>
          <w:rFonts w:ascii="Verdana" w:hAnsi="Verdana"/>
          <w:sz w:val="20"/>
          <w:szCs w:val="20"/>
          <w:u w:val="single"/>
        </w:rPr>
      </w:pPr>
    </w:p>
    <w:p w:rsidR="004C7F6A" w:rsidRPr="00B31051" w:rsidRDefault="004C7F6A" w:rsidP="004C7F6A">
      <w:pPr>
        <w:tabs>
          <w:tab w:val="left" w:pos="720"/>
          <w:tab w:val="left" w:pos="1264"/>
        </w:tabs>
        <w:spacing w:after="0"/>
        <w:rPr>
          <w:rFonts w:ascii="Verdana" w:hAnsi="Verdana"/>
          <w:sz w:val="20"/>
          <w:szCs w:val="20"/>
        </w:rPr>
      </w:pPr>
      <w:r w:rsidRPr="00B31051">
        <w:rPr>
          <w:rFonts w:ascii="Verdana" w:hAnsi="Verdana"/>
          <w:sz w:val="20"/>
          <w:szCs w:val="20"/>
          <w:u w:val="single"/>
        </w:rPr>
        <w:t>Uncertainties</w:t>
      </w:r>
      <w:r>
        <w:rPr>
          <w:rFonts w:ascii="Verdana" w:hAnsi="Verdana"/>
          <w:sz w:val="20"/>
          <w:szCs w:val="20"/>
          <w:u w:val="single"/>
        </w:rPr>
        <w:t xml:space="preserve"> for 2014</w:t>
      </w:r>
    </w:p>
    <w:p w:rsidR="004C7F6A" w:rsidRPr="00B31051" w:rsidRDefault="004C7F6A" w:rsidP="004C7F6A">
      <w:pPr>
        <w:tabs>
          <w:tab w:val="left" w:pos="720"/>
          <w:tab w:val="left" w:pos="1264"/>
        </w:tabs>
        <w:spacing w:after="0"/>
        <w:jc w:val="both"/>
        <w:rPr>
          <w:rFonts w:ascii="Verdana" w:hAnsi="Verdana"/>
          <w:i/>
          <w:sz w:val="20"/>
          <w:szCs w:val="20"/>
        </w:rPr>
      </w:pPr>
      <w:r w:rsidRPr="00B31051">
        <w:rPr>
          <w:rFonts w:ascii="Verdana" w:hAnsi="Verdana"/>
          <w:i/>
          <w:sz w:val="20"/>
          <w:szCs w:val="20"/>
        </w:rPr>
        <w:t>Insurance receivables for Nordic Ruth</w:t>
      </w:r>
    </w:p>
    <w:p w:rsidR="004C7F6A" w:rsidRDefault="004C7F6A" w:rsidP="004C7F6A">
      <w:pPr>
        <w:tabs>
          <w:tab w:val="left" w:pos="720"/>
          <w:tab w:val="left" w:pos="1264"/>
        </w:tabs>
        <w:spacing w:after="0"/>
        <w:jc w:val="both"/>
        <w:rPr>
          <w:rFonts w:ascii="Verdana" w:hAnsi="Verdana"/>
          <w:sz w:val="20"/>
          <w:szCs w:val="20"/>
        </w:rPr>
      </w:pPr>
      <w:r w:rsidRPr="00B31051">
        <w:rPr>
          <w:rFonts w:ascii="Verdana" w:hAnsi="Verdana"/>
          <w:sz w:val="20"/>
          <w:szCs w:val="20"/>
        </w:rPr>
        <w:t xml:space="preserve">The receivables from the insurance claims for Nordic Ruth </w:t>
      </w:r>
      <w:r>
        <w:rPr>
          <w:rFonts w:ascii="Verdana" w:hAnsi="Verdana"/>
          <w:sz w:val="20"/>
          <w:szCs w:val="20"/>
        </w:rPr>
        <w:t xml:space="preserve">are </w:t>
      </w:r>
      <w:r w:rsidRPr="00B31051">
        <w:rPr>
          <w:rFonts w:ascii="Verdana" w:hAnsi="Verdana"/>
          <w:sz w:val="20"/>
          <w:szCs w:val="20"/>
        </w:rPr>
        <w:t xml:space="preserve">earmarked to pay down </w:t>
      </w:r>
      <w:r>
        <w:rPr>
          <w:rFonts w:ascii="Verdana" w:hAnsi="Verdana"/>
          <w:sz w:val="20"/>
          <w:szCs w:val="20"/>
        </w:rPr>
        <w:t xml:space="preserve">the working capital </w:t>
      </w:r>
      <w:r w:rsidRPr="00B31051">
        <w:rPr>
          <w:rFonts w:ascii="Verdana" w:hAnsi="Verdana"/>
          <w:sz w:val="20"/>
          <w:szCs w:val="20"/>
        </w:rPr>
        <w:t>facility as and when the claims proceeds were received. As the Group is still awaiting confirmation from the insurance adjuster regarding the final amount to be recovered, there is uncertainty if the final amount received is materially less than the anticipated amount.</w:t>
      </w:r>
    </w:p>
    <w:p w:rsidR="004C7F6A" w:rsidRPr="00B31051" w:rsidRDefault="004C7F6A" w:rsidP="004C7F6A">
      <w:pPr>
        <w:tabs>
          <w:tab w:val="left" w:pos="720"/>
          <w:tab w:val="left" w:pos="1264"/>
        </w:tabs>
        <w:spacing w:after="0"/>
        <w:jc w:val="both"/>
        <w:rPr>
          <w:rFonts w:ascii="Verdana" w:hAnsi="Verdana"/>
          <w:sz w:val="20"/>
          <w:szCs w:val="20"/>
        </w:rPr>
      </w:pPr>
    </w:p>
    <w:p w:rsidR="004C7F6A" w:rsidRDefault="004C7F6A" w:rsidP="004C7F6A">
      <w:pPr>
        <w:tabs>
          <w:tab w:val="left" w:pos="720"/>
          <w:tab w:val="left" w:pos="1264"/>
        </w:tabs>
        <w:spacing w:after="0"/>
        <w:jc w:val="both"/>
        <w:rPr>
          <w:rFonts w:ascii="Verdana" w:hAnsi="Verdana"/>
          <w:i/>
          <w:sz w:val="20"/>
          <w:szCs w:val="20"/>
        </w:rPr>
      </w:pPr>
      <w:r w:rsidRPr="00B31051">
        <w:rPr>
          <w:rFonts w:ascii="Verdana" w:hAnsi="Verdana"/>
          <w:i/>
          <w:sz w:val="20"/>
          <w:szCs w:val="20"/>
        </w:rPr>
        <w:t xml:space="preserve">Uncertainty on projected pool distributions </w:t>
      </w:r>
    </w:p>
    <w:p w:rsidR="004C7F6A" w:rsidRDefault="004C7F6A" w:rsidP="004C7F6A">
      <w:pPr>
        <w:tabs>
          <w:tab w:val="left" w:pos="720"/>
          <w:tab w:val="left" w:pos="1264"/>
        </w:tabs>
        <w:spacing w:after="0"/>
        <w:jc w:val="both"/>
        <w:rPr>
          <w:rFonts w:ascii="Verdana" w:hAnsi="Verdana"/>
          <w:sz w:val="20"/>
          <w:szCs w:val="20"/>
        </w:rPr>
      </w:pPr>
      <w:r w:rsidRPr="00B31051">
        <w:rPr>
          <w:rFonts w:ascii="Verdana" w:hAnsi="Verdana"/>
          <w:sz w:val="20"/>
          <w:szCs w:val="20"/>
        </w:rPr>
        <w:t xml:space="preserve">The ability to generate sufficient cash flows to pay operating expenses, dry docking costs and interest payments may be uncertain as the projected income from the 2 pool operators may differ from actual performance.  </w:t>
      </w:r>
    </w:p>
    <w:p w:rsidR="004C7F6A" w:rsidRDefault="004C7F6A" w:rsidP="004C7F6A">
      <w:pPr>
        <w:tabs>
          <w:tab w:val="left" w:pos="720"/>
          <w:tab w:val="left" w:pos="1264"/>
        </w:tabs>
        <w:spacing w:after="0"/>
        <w:jc w:val="both"/>
        <w:rPr>
          <w:rFonts w:ascii="Verdana" w:hAnsi="Verdana"/>
          <w:i/>
          <w:sz w:val="20"/>
          <w:szCs w:val="20"/>
        </w:rPr>
      </w:pPr>
    </w:p>
    <w:p w:rsidR="004C7F6A" w:rsidRPr="00B31051" w:rsidRDefault="004C7F6A" w:rsidP="004C7F6A">
      <w:pPr>
        <w:tabs>
          <w:tab w:val="left" w:pos="720"/>
          <w:tab w:val="left" w:pos="1264"/>
        </w:tabs>
        <w:spacing w:after="0"/>
        <w:jc w:val="both"/>
        <w:rPr>
          <w:rFonts w:ascii="Verdana" w:hAnsi="Verdana"/>
          <w:sz w:val="20"/>
          <w:szCs w:val="20"/>
        </w:rPr>
      </w:pPr>
      <w:r w:rsidRPr="00B31051">
        <w:rPr>
          <w:rFonts w:ascii="Verdana" w:hAnsi="Verdana"/>
          <w:i/>
          <w:sz w:val="20"/>
          <w:szCs w:val="20"/>
        </w:rPr>
        <w:t>Uncertainty on freight rate</w:t>
      </w:r>
      <w:r>
        <w:rPr>
          <w:rFonts w:ascii="Verdana" w:hAnsi="Verdana"/>
          <w:i/>
          <w:sz w:val="20"/>
          <w:szCs w:val="20"/>
        </w:rPr>
        <w:t>s, operating expenditure</w:t>
      </w:r>
      <w:r w:rsidRPr="00B31051">
        <w:rPr>
          <w:rFonts w:ascii="Verdana" w:hAnsi="Verdana"/>
          <w:i/>
          <w:sz w:val="20"/>
          <w:szCs w:val="20"/>
        </w:rPr>
        <w:t xml:space="preserve"> and vessels’ valuations</w:t>
      </w:r>
    </w:p>
    <w:p w:rsidR="004C7F6A" w:rsidRDefault="004C7F6A" w:rsidP="004C7F6A">
      <w:pPr>
        <w:tabs>
          <w:tab w:val="left" w:pos="720"/>
          <w:tab w:val="left" w:pos="1264"/>
        </w:tabs>
        <w:spacing w:after="0"/>
        <w:jc w:val="both"/>
        <w:rPr>
          <w:rFonts w:ascii="Verdana" w:hAnsi="Verdana"/>
          <w:sz w:val="20"/>
          <w:szCs w:val="20"/>
        </w:rPr>
      </w:pPr>
      <w:r w:rsidRPr="00B31051">
        <w:rPr>
          <w:rFonts w:ascii="Verdana" w:hAnsi="Verdana"/>
          <w:sz w:val="20"/>
          <w:szCs w:val="20"/>
        </w:rPr>
        <w:t>As freight rates are volatile, a 10% decrease in the pool income (on a time charter-equivalent basis) would result in about USD 3</w:t>
      </w:r>
      <w:r>
        <w:rPr>
          <w:rFonts w:ascii="Verdana" w:hAnsi="Verdana"/>
          <w:sz w:val="20"/>
          <w:szCs w:val="20"/>
        </w:rPr>
        <w:t>.0</w:t>
      </w:r>
      <w:r w:rsidRPr="00B31051">
        <w:rPr>
          <w:rFonts w:ascii="Verdana" w:hAnsi="Verdana"/>
          <w:sz w:val="20"/>
          <w:szCs w:val="20"/>
        </w:rPr>
        <w:t xml:space="preserve"> million decrease in</w:t>
      </w:r>
      <w:r>
        <w:rPr>
          <w:rFonts w:ascii="Verdana" w:hAnsi="Verdana"/>
          <w:sz w:val="20"/>
          <w:szCs w:val="20"/>
        </w:rPr>
        <w:t xml:space="preserve"> the projected cash flows. Actual operating expenditure could be higher than forecasted.  A 10% increase in the daily operating expenditure would result in about USD 1.4 million decrease in the projected cash flows. Vessel valuations are also unpredictable and fluctuate in accordance with market conditions. </w:t>
      </w:r>
    </w:p>
    <w:p w:rsidR="004C7F6A" w:rsidRDefault="004C7F6A" w:rsidP="004C7F6A">
      <w:pPr>
        <w:tabs>
          <w:tab w:val="left" w:pos="720"/>
          <w:tab w:val="left" w:pos="1264"/>
        </w:tabs>
        <w:spacing w:after="0"/>
        <w:jc w:val="both"/>
        <w:rPr>
          <w:rFonts w:ascii="Verdana" w:hAnsi="Verdana"/>
          <w:sz w:val="20"/>
          <w:szCs w:val="20"/>
        </w:rPr>
      </w:pPr>
    </w:p>
    <w:p w:rsidR="004C7F6A" w:rsidRPr="00D862E9" w:rsidRDefault="004C7F6A" w:rsidP="004C7F6A">
      <w:pPr>
        <w:spacing w:after="0"/>
        <w:jc w:val="both"/>
        <w:rPr>
          <w:rFonts w:ascii="Verdana" w:hAnsi="Verdana"/>
          <w:sz w:val="20"/>
          <w:szCs w:val="20"/>
          <w:u w:val="single"/>
        </w:rPr>
      </w:pPr>
      <w:r>
        <w:rPr>
          <w:rFonts w:ascii="Verdana" w:hAnsi="Verdana"/>
          <w:sz w:val="20"/>
          <w:szCs w:val="20"/>
          <w:u w:val="single"/>
        </w:rPr>
        <w:t>Going concern assumptions</w:t>
      </w:r>
    </w:p>
    <w:p w:rsidR="004C7F6A" w:rsidRDefault="004C7F6A" w:rsidP="004C7F6A">
      <w:pPr>
        <w:spacing w:after="0"/>
        <w:jc w:val="both"/>
        <w:rPr>
          <w:rFonts w:ascii="Verdana" w:hAnsi="Verdana"/>
          <w:sz w:val="20"/>
          <w:szCs w:val="20"/>
        </w:rPr>
      </w:pPr>
      <w:r>
        <w:rPr>
          <w:rFonts w:ascii="Verdana" w:hAnsi="Verdana"/>
          <w:sz w:val="20"/>
          <w:szCs w:val="20"/>
        </w:rPr>
        <w:t>The financial statements are prepared based on the going concern principle, as the Group b</w:t>
      </w:r>
      <w:r w:rsidRPr="003277CD">
        <w:rPr>
          <w:rFonts w:ascii="Verdana" w:hAnsi="Verdana"/>
          <w:sz w:val="20"/>
          <w:szCs w:val="20"/>
        </w:rPr>
        <w:t xml:space="preserve">ased on </w:t>
      </w:r>
      <w:r w:rsidR="00B50F7E">
        <w:rPr>
          <w:rFonts w:ascii="Verdana" w:hAnsi="Verdana"/>
          <w:sz w:val="20"/>
          <w:szCs w:val="20"/>
        </w:rPr>
        <w:t>m</w:t>
      </w:r>
      <w:r w:rsidRPr="003277CD">
        <w:rPr>
          <w:rFonts w:ascii="Verdana" w:hAnsi="Verdana"/>
          <w:sz w:val="20"/>
          <w:szCs w:val="20"/>
        </w:rPr>
        <w:t>anagement</w:t>
      </w:r>
      <w:r>
        <w:rPr>
          <w:rFonts w:ascii="Verdana" w:hAnsi="Verdana"/>
          <w:sz w:val="20"/>
          <w:szCs w:val="20"/>
        </w:rPr>
        <w:t>’s</w:t>
      </w:r>
      <w:r w:rsidRPr="003277CD">
        <w:rPr>
          <w:rFonts w:ascii="Verdana" w:hAnsi="Verdana"/>
          <w:sz w:val="20"/>
          <w:szCs w:val="20"/>
        </w:rPr>
        <w:t xml:space="preserve"> forecast for 2014</w:t>
      </w:r>
      <w:r>
        <w:rPr>
          <w:rFonts w:ascii="Verdana" w:hAnsi="Verdana"/>
          <w:sz w:val="20"/>
          <w:szCs w:val="20"/>
        </w:rPr>
        <w:t xml:space="preserve">, </w:t>
      </w:r>
      <w:r w:rsidRPr="003277CD">
        <w:rPr>
          <w:rFonts w:ascii="Verdana" w:hAnsi="Verdana"/>
          <w:sz w:val="20"/>
          <w:szCs w:val="20"/>
        </w:rPr>
        <w:t xml:space="preserve">is not expected to breach any </w:t>
      </w:r>
      <w:r>
        <w:rPr>
          <w:rFonts w:ascii="Verdana" w:hAnsi="Verdana"/>
          <w:sz w:val="20"/>
          <w:szCs w:val="20"/>
        </w:rPr>
        <w:t>covenants</w:t>
      </w:r>
      <w:r w:rsidRPr="003277CD">
        <w:rPr>
          <w:rFonts w:ascii="Verdana" w:hAnsi="Verdana"/>
          <w:sz w:val="20"/>
          <w:szCs w:val="20"/>
        </w:rPr>
        <w:t>.</w:t>
      </w:r>
    </w:p>
    <w:p w:rsidR="004C7F6A" w:rsidRDefault="004C7F6A" w:rsidP="004C7F6A">
      <w:pPr>
        <w:spacing w:after="0"/>
        <w:jc w:val="both"/>
        <w:rPr>
          <w:rFonts w:ascii="Verdana" w:hAnsi="Verdana"/>
          <w:sz w:val="20"/>
          <w:szCs w:val="20"/>
        </w:rPr>
      </w:pPr>
    </w:p>
    <w:p w:rsidR="004C7F6A" w:rsidRDefault="004C7F6A" w:rsidP="004C7F6A">
      <w:pPr>
        <w:spacing w:after="0"/>
        <w:jc w:val="both"/>
        <w:rPr>
          <w:rFonts w:ascii="Verdana" w:hAnsi="Verdana"/>
          <w:sz w:val="20"/>
          <w:szCs w:val="20"/>
        </w:rPr>
      </w:pPr>
      <w:r w:rsidRPr="00524DD1">
        <w:rPr>
          <w:rFonts w:ascii="Verdana" w:hAnsi="Verdana"/>
          <w:sz w:val="20"/>
          <w:szCs w:val="20"/>
        </w:rPr>
        <w:t>Even though management expects the Group to be in compliance with covenants throughout 2014, there is uncertainty regarding the development in freight rates, reduction in operating expenditure and collection of the insurance receivable. If the freight rates do not increase as expected, operati</w:t>
      </w:r>
      <w:r w:rsidR="00B50F7E">
        <w:rPr>
          <w:rFonts w:ascii="Verdana" w:hAnsi="Verdana"/>
          <w:sz w:val="20"/>
          <w:szCs w:val="20"/>
        </w:rPr>
        <w:t>ng</w:t>
      </w:r>
      <w:r w:rsidRPr="00524DD1">
        <w:rPr>
          <w:rFonts w:ascii="Verdana" w:hAnsi="Verdana"/>
          <w:sz w:val="20"/>
          <w:szCs w:val="20"/>
        </w:rPr>
        <w:t xml:space="preserve"> expenditure </w:t>
      </w:r>
      <w:r>
        <w:rPr>
          <w:rFonts w:ascii="Verdana" w:hAnsi="Verdana"/>
          <w:sz w:val="20"/>
          <w:szCs w:val="20"/>
        </w:rPr>
        <w:t xml:space="preserve">do not </w:t>
      </w:r>
      <w:r w:rsidRPr="00524DD1">
        <w:rPr>
          <w:rFonts w:ascii="Verdana" w:hAnsi="Verdana"/>
          <w:sz w:val="20"/>
          <w:szCs w:val="20"/>
        </w:rPr>
        <w:t xml:space="preserve">decrease as expected, or if the insurance receivable is not received, </w:t>
      </w:r>
      <w:r>
        <w:rPr>
          <w:rFonts w:ascii="Verdana" w:hAnsi="Verdana"/>
          <w:sz w:val="20"/>
          <w:szCs w:val="20"/>
        </w:rPr>
        <w:t xml:space="preserve">this </w:t>
      </w:r>
      <w:r w:rsidRPr="00524DD1">
        <w:rPr>
          <w:rFonts w:ascii="Verdana" w:hAnsi="Verdana"/>
          <w:sz w:val="20"/>
          <w:szCs w:val="20"/>
        </w:rPr>
        <w:t xml:space="preserve">could lead to breach of covenants in 2014. </w:t>
      </w:r>
    </w:p>
    <w:p w:rsidR="004C7F6A" w:rsidRDefault="004C7F6A" w:rsidP="004C7F6A">
      <w:pPr>
        <w:spacing w:after="0"/>
        <w:jc w:val="both"/>
        <w:rPr>
          <w:rFonts w:ascii="Verdana" w:hAnsi="Verdana"/>
          <w:sz w:val="20"/>
          <w:szCs w:val="20"/>
        </w:rPr>
      </w:pPr>
    </w:p>
    <w:p w:rsidR="004C7F6A" w:rsidRPr="00B31051" w:rsidRDefault="004C7F6A" w:rsidP="004C7F6A">
      <w:pPr>
        <w:spacing w:after="0"/>
        <w:jc w:val="both"/>
        <w:rPr>
          <w:rFonts w:ascii="Verdana" w:hAnsi="Verdana"/>
          <w:sz w:val="20"/>
          <w:szCs w:val="20"/>
        </w:rPr>
      </w:pPr>
      <w:r w:rsidRPr="00524DD1">
        <w:rPr>
          <w:rFonts w:ascii="Verdana" w:hAnsi="Verdana"/>
          <w:sz w:val="20"/>
          <w:szCs w:val="20"/>
        </w:rPr>
        <w:t>These and other forecast assumptions in 2014 may cast doubt about the ability of Nordic Shipholding A/S to continue as a going concern</w:t>
      </w:r>
      <w:r>
        <w:rPr>
          <w:rFonts w:ascii="Verdana" w:hAnsi="Verdana"/>
          <w:sz w:val="20"/>
          <w:szCs w:val="20"/>
        </w:rPr>
        <w:t xml:space="preserve">. If the Group should breach any loan covenants, </w:t>
      </w:r>
      <w:r w:rsidR="00B50F7E">
        <w:rPr>
          <w:rFonts w:ascii="Verdana" w:hAnsi="Verdana"/>
          <w:sz w:val="20"/>
          <w:szCs w:val="20"/>
        </w:rPr>
        <w:t>m</w:t>
      </w:r>
      <w:r>
        <w:rPr>
          <w:rFonts w:ascii="Verdana" w:hAnsi="Verdana"/>
          <w:sz w:val="20"/>
          <w:szCs w:val="20"/>
        </w:rPr>
        <w:t>anagement expects to find a solution for the financing of the Group.</w:t>
      </w:r>
    </w:p>
    <w:p w:rsidR="004C7F6A" w:rsidRPr="00524DD1" w:rsidRDefault="004C7F6A" w:rsidP="004C7F6A">
      <w:pPr>
        <w:jc w:val="both"/>
        <w:rPr>
          <w:rFonts w:ascii="Verdana" w:hAnsi="Verdana"/>
          <w:sz w:val="20"/>
          <w:szCs w:val="20"/>
        </w:rPr>
      </w:pPr>
    </w:p>
    <w:p w:rsidR="00B719B2" w:rsidRDefault="00B719B2" w:rsidP="00D66BD5">
      <w:pPr>
        <w:jc w:val="both"/>
        <w:rPr>
          <w:rFonts w:ascii="Verdana" w:hAnsi="Verdana"/>
          <w:sz w:val="20"/>
          <w:szCs w:val="20"/>
        </w:rPr>
      </w:pPr>
    </w:p>
    <w:p w:rsidR="00B719B2" w:rsidRDefault="00B719B2" w:rsidP="00D66BD5">
      <w:pPr>
        <w:jc w:val="both"/>
        <w:rPr>
          <w:rFonts w:ascii="Verdana" w:hAnsi="Verdana"/>
          <w:sz w:val="20"/>
          <w:szCs w:val="20"/>
        </w:rPr>
      </w:pPr>
    </w:p>
    <w:p w:rsidR="004E35DC" w:rsidRDefault="004E35DC" w:rsidP="00D66BD5">
      <w:pPr>
        <w:jc w:val="both"/>
        <w:rPr>
          <w:rFonts w:ascii="Verdana" w:hAnsi="Verdana"/>
          <w:sz w:val="20"/>
          <w:szCs w:val="20"/>
        </w:rPr>
      </w:pPr>
    </w:p>
    <w:p w:rsidR="004E35DC" w:rsidRDefault="004E35DC" w:rsidP="00D66BD5">
      <w:pPr>
        <w:jc w:val="both"/>
        <w:rPr>
          <w:rFonts w:ascii="Verdana" w:hAnsi="Verdana"/>
          <w:sz w:val="20"/>
          <w:szCs w:val="20"/>
        </w:rPr>
      </w:pPr>
    </w:p>
    <w:p w:rsidR="004E35DC" w:rsidRDefault="004E35DC" w:rsidP="00D66BD5">
      <w:pPr>
        <w:jc w:val="both"/>
        <w:rPr>
          <w:rFonts w:ascii="Verdana" w:hAnsi="Verdana"/>
          <w:sz w:val="20"/>
          <w:szCs w:val="20"/>
        </w:rPr>
      </w:pPr>
    </w:p>
    <w:p w:rsidR="004E35DC" w:rsidRDefault="004E35DC" w:rsidP="00D66BD5">
      <w:pPr>
        <w:jc w:val="both"/>
        <w:rPr>
          <w:rFonts w:ascii="Verdana" w:hAnsi="Verdana"/>
          <w:sz w:val="20"/>
          <w:szCs w:val="20"/>
        </w:rPr>
      </w:pPr>
    </w:p>
    <w:p w:rsidR="004C7F6A" w:rsidRDefault="004C7F6A" w:rsidP="00D66BD5">
      <w:pPr>
        <w:jc w:val="both"/>
        <w:rPr>
          <w:rFonts w:ascii="Verdana" w:hAnsi="Verdana"/>
          <w:sz w:val="20"/>
          <w:szCs w:val="20"/>
        </w:rPr>
      </w:pPr>
    </w:p>
    <w:p w:rsidR="004C7F6A" w:rsidRDefault="004C7F6A" w:rsidP="00D66BD5">
      <w:pPr>
        <w:jc w:val="both"/>
        <w:rPr>
          <w:rFonts w:ascii="Verdana" w:hAnsi="Verdana"/>
          <w:sz w:val="20"/>
          <w:szCs w:val="20"/>
        </w:rPr>
      </w:pPr>
    </w:p>
    <w:p w:rsidR="000C30BB" w:rsidRDefault="000C30BB" w:rsidP="00D66BD5">
      <w:pPr>
        <w:jc w:val="both"/>
        <w:rPr>
          <w:rFonts w:ascii="Verdana" w:hAnsi="Verdana"/>
          <w:sz w:val="20"/>
          <w:szCs w:val="20"/>
        </w:rPr>
      </w:pPr>
    </w:p>
    <w:p w:rsidR="004C7F6A" w:rsidRDefault="004C7F6A" w:rsidP="00D66BD5">
      <w:pPr>
        <w:jc w:val="both"/>
        <w:rPr>
          <w:rFonts w:ascii="Verdana" w:hAnsi="Verdana"/>
          <w:sz w:val="20"/>
          <w:szCs w:val="20"/>
        </w:rPr>
      </w:pPr>
    </w:p>
    <w:p w:rsidR="004C7F6A" w:rsidRDefault="004C7F6A" w:rsidP="00D66BD5">
      <w:pPr>
        <w:jc w:val="both"/>
        <w:rPr>
          <w:rFonts w:ascii="Verdana" w:hAnsi="Verdana"/>
          <w:sz w:val="20"/>
          <w:szCs w:val="20"/>
        </w:rPr>
      </w:pPr>
    </w:p>
    <w:p w:rsidR="000913ED" w:rsidRDefault="00EB3B58" w:rsidP="00854549">
      <w:pPr>
        <w:pStyle w:val="ListParagraph"/>
        <w:numPr>
          <w:ilvl w:val="0"/>
          <w:numId w:val="36"/>
        </w:numPr>
        <w:spacing w:after="200" w:line="276" w:lineRule="auto"/>
        <w:ind w:left="540" w:hanging="540"/>
        <w:jc w:val="both"/>
        <w:rPr>
          <w:rStyle w:val="Strong"/>
          <w:rFonts w:ascii="Verdana" w:hAnsi="Verdana" w:cstheme="minorHAnsi"/>
          <w:color w:val="95B3D7" w:themeColor="accent1" w:themeTint="99"/>
          <w:sz w:val="20"/>
          <w:szCs w:val="20"/>
        </w:rPr>
      </w:pPr>
      <w:r w:rsidRPr="00B80F0A">
        <w:rPr>
          <w:rStyle w:val="Strong"/>
          <w:rFonts w:ascii="Verdana" w:hAnsi="Verdana" w:cstheme="minorHAnsi"/>
          <w:color w:val="95B3D7" w:themeColor="accent1" w:themeTint="99"/>
          <w:sz w:val="20"/>
          <w:szCs w:val="20"/>
        </w:rPr>
        <w:t>S</w:t>
      </w:r>
      <w:r w:rsidR="000913ED" w:rsidRPr="00B80F0A">
        <w:rPr>
          <w:rStyle w:val="Strong"/>
          <w:rFonts w:ascii="Verdana" w:hAnsi="Verdana" w:cstheme="minorHAnsi"/>
          <w:color w:val="95B3D7" w:themeColor="accent1" w:themeTint="99"/>
          <w:sz w:val="20"/>
          <w:szCs w:val="20"/>
        </w:rPr>
        <w:t>ignificant accounting estimates, assumptions and uncertainties</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Nordic Shipholding’s annual report, which includes the consolidated financial statements and the fina</w:t>
      </w:r>
      <w:r w:rsidR="00C30AFA">
        <w:rPr>
          <w:rFonts w:ascii="Verdana" w:hAnsi="Verdana" w:cstheme="minorHAnsi"/>
          <w:sz w:val="20"/>
          <w:szCs w:val="20"/>
          <w:lang w:val="en-GB"/>
        </w:rPr>
        <w:t>ncial statements of the C</w:t>
      </w:r>
      <w:r w:rsidRPr="00223369">
        <w:rPr>
          <w:rFonts w:ascii="Verdana" w:hAnsi="Verdana" w:cstheme="minorHAnsi"/>
          <w:sz w:val="20"/>
          <w:szCs w:val="20"/>
          <w:lang w:val="en-GB"/>
        </w:rPr>
        <w:t xml:space="preserve">ompany, has been prepared in accordance with International Financial Reporting Standards (IFRS) as adopted by the EU and additional Danish disclosure requirements for annual reports of listed companies (reporting class D). The accounting </w:t>
      </w:r>
      <w:r w:rsidR="00EB3B58">
        <w:rPr>
          <w:rFonts w:ascii="Verdana" w:hAnsi="Verdana" w:cstheme="minorHAnsi"/>
          <w:sz w:val="20"/>
          <w:szCs w:val="20"/>
          <w:lang w:val="en-GB"/>
        </w:rPr>
        <w:t xml:space="preserve">policies are described in </w:t>
      </w:r>
      <w:r w:rsidR="00C30AFA">
        <w:rPr>
          <w:rFonts w:ascii="Verdana" w:hAnsi="Verdana" w:cstheme="minorHAnsi"/>
          <w:sz w:val="20"/>
          <w:szCs w:val="20"/>
          <w:lang w:val="en-GB"/>
        </w:rPr>
        <w:t>N</w:t>
      </w:r>
      <w:r w:rsidR="00EB3B58" w:rsidRPr="00B80F0A">
        <w:rPr>
          <w:rFonts w:ascii="Verdana" w:hAnsi="Verdana" w:cstheme="minorHAnsi"/>
          <w:sz w:val="20"/>
          <w:szCs w:val="20"/>
          <w:lang w:val="en-GB"/>
        </w:rPr>
        <w:t xml:space="preserve">ote </w:t>
      </w:r>
      <w:r w:rsidR="0099772B" w:rsidRPr="00B80F0A">
        <w:rPr>
          <w:rFonts w:ascii="Verdana" w:hAnsi="Verdana" w:cstheme="minorHAnsi"/>
          <w:sz w:val="20"/>
          <w:szCs w:val="20"/>
          <w:lang w:val="en-GB"/>
        </w:rPr>
        <w:t>2</w:t>
      </w:r>
      <w:r w:rsidRPr="00B80F0A">
        <w:rPr>
          <w:rFonts w:ascii="Verdana" w:hAnsi="Verdana" w:cstheme="minorHAnsi"/>
          <w:sz w:val="20"/>
          <w:szCs w:val="20"/>
          <w:lang w:val="en-GB"/>
        </w:rPr>
        <w:t>.</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In connection with the preparation of the financial statements, management applies estimates and assumptions. Such estimates and assumptions are based on the most recent information available at the time of preparing the financial statements.</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The most significant estimates relates to:</w:t>
      </w:r>
    </w:p>
    <w:p w:rsidR="000913ED" w:rsidRPr="00223369" w:rsidRDefault="000913ED" w:rsidP="00EB243B">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sidRPr="00223369">
        <w:rPr>
          <w:rFonts w:ascii="Verdana" w:hAnsi="Verdana" w:cstheme="minorHAnsi"/>
          <w:sz w:val="20"/>
          <w:szCs w:val="20"/>
        </w:rPr>
        <w:t>going concern principle,</w:t>
      </w:r>
    </w:p>
    <w:p w:rsidR="000913ED" w:rsidRDefault="000913ED" w:rsidP="00EB243B">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sidRPr="00223369">
        <w:rPr>
          <w:rFonts w:ascii="Verdana" w:hAnsi="Verdana" w:cstheme="minorHAnsi"/>
          <w:sz w:val="20"/>
          <w:szCs w:val="20"/>
        </w:rPr>
        <w:t xml:space="preserve">measurement of </w:t>
      </w:r>
      <w:r w:rsidR="00802CB1">
        <w:rPr>
          <w:rFonts w:ascii="Verdana" w:hAnsi="Verdana" w:cstheme="minorHAnsi"/>
          <w:sz w:val="20"/>
          <w:szCs w:val="20"/>
        </w:rPr>
        <w:t>vessels</w:t>
      </w:r>
      <w:r w:rsidRPr="00223369">
        <w:rPr>
          <w:rFonts w:ascii="Verdana" w:hAnsi="Verdana" w:cstheme="minorHAnsi"/>
          <w:sz w:val="20"/>
          <w:szCs w:val="20"/>
        </w:rPr>
        <w:t>,</w:t>
      </w:r>
    </w:p>
    <w:p w:rsidR="00633C3E" w:rsidRDefault="00633C3E" w:rsidP="00EB243B">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Pr>
          <w:rFonts w:ascii="Verdana" w:hAnsi="Verdana" w:cstheme="minorHAnsi"/>
          <w:sz w:val="20"/>
          <w:szCs w:val="20"/>
        </w:rPr>
        <w:t>depreciation periods,</w:t>
      </w:r>
    </w:p>
    <w:p w:rsidR="00983D4D" w:rsidRPr="00223369" w:rsidRDefault="00C227AB" w:rsidP="00EB243B">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Pr>
          <w:rFonts w:ascii="Verdana" w:hAnsi="Verdana" w:cstheme="minorHAnsi"/>
          <w:sz w:val="20"/>
          <w:szCs w:val="20"/>
        </w:rPr>
        <w:t>gain from</w:t>
      </w:r>
      <w:r w:rsidR="00983D4D">
        <w:rPr>
          <w:rFonts w:ascii="Verdana" w:hAnsi="Verdana" w:cstheme="minorHAnsi"/>
          <w:sz w:val="20"/>
          <w:szCs w:val="20"/>
        </w:rPr>
        <w:t xml:space="preserve"> restructuring,</w:t>
      </w:r>
    </w:p>
    <w:p w:rsidR="000913ED" w:rsidRPr="00B00E6F" w:rsidRDefault="000913ED" w:rsidP="00EB243B">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sidRPr="00B00E6F">
        <w:rPr>
          <w:rFonts w:ascii="Verdana" w:hAnsi="Verdana" w:cstheme="minorHAnsi"/>
          <w:sz w:val="20"/>
          <w:szCs w:val="20"/>
        </w:rPr>
        <w:t xml:space="preserve">recognition of deferred tax assets, </w:t>
      </w:r>
      <w:r w:rsidR="00E14428" w:rsidRPr="00B00E6F">
        <w:rPr>
          <w:rFonts w:ascii="Verdana" w:hAnsi="Verdana" w:cstheme="minorHAnsi"/>
          <w:sz w:val="20"/>
          <w:szCs w:val="20"/>
        </w:rPr>
        <w:t>and</w:t>
      </w:r>
    </w:p>
    <w:p w:rsidR="00E14428" w:rsidRDefault="00E14428" w:rsidP="00EB243B">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Pr>
          <w:rFonts w:ascii="Verdana" w:hAnsi="Verdana" w:cstheme="minorHAnsi"/>
          <w:sz w:val="20"/>
          <w:szCs w:val="20"/>
        </w:rPr>
        <w:t>docking of Nordic Ruth.</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The estimates and assumptions are based on premises that management find reasonable, but which are uncertain or unpredictable. It may be necessary to change previous estimates as a result of future changes in the assumptions, new information, further experience or subsequent events.</w:t>
      </w:r>
    </w:p>
    <w:p w:rsidR="000913ED" w:rsidRPr="00223369" w:rsidRDefault="000913ED" w:rsidP="001F7883">
      <w:pPr>
        <w:autoSpaceDE w:val="0"/>
        <w:autoSpaceDN w:val="0"/>
        <w:adjustRightInd w:val="0"/>
        <w:spacing w:before="360" w:after="0"/>
        <w:jc w:val="both"/>
        <w:rPr>
          <w:rFonts w:ascii="Verdana" w:hAnsi="Verdana" w:cstheme="minorHAnsi"/>
          <w:b/>
          <w:bCs/>
          <w:sz w:val="20"/>
          <w:szCs w:val="20"/>
          <w:lang w:val="en-GB"/>
        </w:rPr>
      </w:pPr>
      <w:r w:rsidRPr="00223369">
        <w:rPr>
          <w:rFonts w:ascii="Verdana" w:hAnsi="Verdana" w:cstheme="minorHAnsi"/>
          <w:b/>
          <w:bCs/>
          <w:sz w:val="20"/>
          <w:szCs w:val="20"/>
          <w:lang w:val="en-GB"/>
        </w:rPr>
        <w:t>Going concern principle</w:t>
      </w:r>
    </w:p>
    <w:p w:rsidR="000913ED" w:rsidRPr="00223369" w:rsidRDefault="000913ED" w:rsidP="00EB243B">
      <w:pPr>
        <w:autoSpaceDE w:val="0"/>
        <w:autoSpaceDN w:val="0"/>
        <w:adjustRightInd w:val="0"/>
        <w:jc w:val="both"/>
        <w:rPr>
          <w:rFonts w:ascii="Verdana" w:hAnsi="Verdana" w:cstheme="minorHAnsi"/>
          <w:bCs/>
          <w:sz w:val="20"/>
          <w:szCs w:val="20"/>
          <w:lang w:val="en-GB"/>
        </w:rPr>
      </w:pPr>
      <w:r w:rsidRPr="00223369">
        <w:rPr>
          <w:rFonts w:ascii="Verdana" w:hAnsi="Verdana" w:cstheme="minorHAnsi"/>
          <w:bCs/>
          <w:sz w:val="20"/>
          <w:szCs w:val="20"/>
          <w:lang w:val="en-GB"/>
        </w:rPr>
        <w:t>Management has presented the financial statements</w:t>
      </w:r>
      <w:r w:rsidR="00983D4D">
        <w:rPr>
          <w:rFonts w:ascii="Verdana" w:hAnsi="Verdana" w:cstheme="minorHAnsi"/>
          <w:bCs/>
          <w:sz w:val="20"/>
          <w:szCs w:val="20"/>
          <w:lang w:val="en-GB"/>
        </w:rPr>
        <w:t xml:space="preserve"> on the basis of going concern. The principle is applied under the assumption that the Company will be able to meet its current liabilities as and when due based on the forecast for Year 2014. Please see Note 0 for further details.</w:t>
      </w:r>
    </w:p>
    <w:p w:rsidR="000913ED" w:rsidRPr="00223369" w:rsidRDefault="000E5F71" w:rsidP="001F7883">
      <w:pPr>
        <w:autoSpaceDE w:val="0"/>
        <w:autoSpaceDN w:val="0"/>
        <w:adjustRightInd w:val="0"/>
        <w:spacing w:before="360" w:after="0"/>
        <w:jc w:val="both"/>
        <w:rPr>
          <w:rFonts w:ascii="Verdana" w:hAnsi="Verdana" w:cstheme="minorHAnsi"/>
          <w:b/>
          <w:bCs/>
          <w:sz w:val="20"/>
          <w:szCs w:val="20"/>
          <w:lang w:val="en-GB"/>
        </w:rPr>
      </w:pPr>
      <w:r w:rsidRPr="00B00E6F">
        <w:rPr>
          <w:rFonts w:ascii="Verdana" w:hAnsi="Verdana" w:cstheme="minorHAnsi"/>
          <w:b/>
          <w:bCs/>
          <w:sz w:val="20"/>
          <w:szCs w:val="20"/>
          <w:lang w:val="en-GB"/>
        </w:rPr>
        <w:t>Measurement of vessels</w:t>
      </w:r>
      <w:r w:rsidR="009B52F9">
        <w:rPr>
          <w:rFonts w:ascii="Verdana" w:hAnsi="Verdana" w:cstheme="minorHAnsi"/>
          <w:b/>
          <w:bCs/>
          <w:sz w:val="20"/>
          <w:szCs w:val="20"/>
          <w:lang w:val="en-GB"/>
        </w:rPr>
        <w:t xml:space="preserve">  </w:t>
      </w:r>
    </w:p>
    <w:p w:rsidR="000913ED" w:rsidRPr="00223369" w:rsidRDefault="000E5F71" w:rsidP="00EB243B">
      <w:pPr>
        <w:autoSpaceDE w:val="0"/>
        <w:autoSpaceDN w:val="0"/>
        <w:adjustRightInd w:val="0"/>
        <w:jc w:val="both"/>
        <w:rPr>
          <w:rFonts w:ascii="Verdana" w:hAnsi="Verdana" w:cstheme="minorHAnsi"/>
          <w:sz w:val="20"/>
          <w:szCs w:val="20"/>
          <w:lang w:val="en-GB"/>
        </w:rPr>
      </w:pPr>
      <w:r>
        <w:rPr>
          <w:rFonts w:ascii="Verdana" w:hAnsi="Verdana" w:cstheme="minorHAnsi"/>
          <w:sz w:val="20"/>
          <w:szCs w:val="20"/>
          <w:lang w:val="en-GB"/>
        </w:rPr>
        <w:t>V</w:t>
      </w:r>
      <w:r w:rsidRPr="00223369">
        <w:rPr>
          <w:rFonts w:ascii="Verdana" w:hAnsi="Verdana" w:cstheme="minorHAnsi"/>
          <w:sz w:val="20"/>
          <w:szCs w:val="20"/>
          <w:lang w:val="en-GB"/>
        </w:rPr>
        <w:t xml:space="preserve">essels </w:t>
      </w:r>
      <w:r w:rsidR="00621F3C">
        <w:rPr>
          <w:rFonts w:ascii="Verdana" w:hAnsi="Verdana" w:cstheme="minorHAnsi"/>
          <w:sz w:val="20"/>
          <w:szCs w:val="20"/>
          <w:lang w:val="en-GB"/>
        </w:rPr>
        <w:t>are</w:t>
      </w:r>
      <w:r w:rsidR="000913ED" w:rsidRPr="00223369">
        <w:rPr>
          <w:rFonts w:ascii="Verdana" w:hAnsi="Verdana" w:cstheme="minorHAnsi"/>
          <w:sz w:val="20"/>
          <w:szCs w:val="20"/>
          <w:lang w:val="en-GB"/>
        </w:rPr>
        <w:t xml:space="preserve"> tested for impairment if there are indications of impairment. The Company evaluates t</w:t>
      </w:r>
      <w:r>
        <w:rPr>
          <w:rFonts w:ascii="Verdana" w:hAnsi="Verdana" w:cstheme="minorHAnsi"/>
          <w:sz w:val="20"/>
          <w:szCs w:val="20"/>
          <w:lang w:val="en-GB"/>
        </w:rPr>
        <w:t xml:space="preserve">he carrying amount of </w:t>
      </w:r>
      <w:r w:rsidR="000913ED" w:rsidRPr="00223369">
        <w:rPr>
          <w:rFonts w:ascii="Verdana" w:hAnsi="Verdana" w:cstheme="minorHAnsi"/>
          <w:sz w:val="20"/>
          <w:szCs w:val="20"/>
          <w:lang w:val="en-GB"/>
        </w:rPr>
        <w:t xml:space="preserve">vessels </w:t>
      </w:r>
      <w:r>
        <w:rPr>
          <w:rFonts w:ascii="Verdana" w:hAnsi="Verdana" w:cstheme="minorHAnsi"/>
          <w:sz w:val="20"/>
          <w:szCs w:val="20"/>
          <w:lang w:val="en-GB"/>
        </w:rPr>
        <w:t>within two</w:t>
      </w:r>
      <w:r w:rsidR="000913ED" w:rsidRPr="00223369">
        <w:rPr>
          <w:rFonts w:ascii="Verdana" w:hAnsi="Verdana" w:cstheme="minorHAnsi"/>
          <w:sz w:val="20"/>
          <w:szCs w:val="20"/>
          <w:lang w:val="en-GB"/>
        </w:rPr>
        <w:t xml:space="preserve"> cash generating unit</w:t>
      </w:r>
      <w:r>
        <w:rPr>
          <w:rFonts w:ascii="Verdana" w:hAnsi="Verdana" w:cstheme="minorHAnsi"/>
          <w:sz w:val="20"/>
          <w:szCs w:val="20"/>
          <w:lang w:val="en-GB"/>
        </w:rPr>
        <w:t>s</w:t>
      </w:r>
      <w:r w:rsidR="000913ED" w:rsidRPr="00223369">
        <w:rPr>
          <w:rFonts w:ascii="Verdana" w:hAnsi="Verdana" w:cstheme="minorHAnsi"/>
          <w:sz w:val="20"/>
          <w:szCs w:val="20"/>
          <w:lang w:val="en-GB"/>
        </w:rPr>
        <w:t xml:space="preserve"> </w:t>
      </w:r>
      <w:r>
        <w:rPr>
          <w:rFonts w:ascii="Verdana" w:hAnsi="Verdana" w:cstheme="minorHAnsi"/>
          <w:sz w:val="20"/>
          <w:szCs w:val="20"/>
          <w:lang w:val="en-GB"/>
        </w:rPr>
        <w:t>–</w:t>
      </w:r>
      <w:r w:rsidR="000913ED" w:rsidRPr="00223369">
        <w:rPr>
          <w:rFonts w:ascii="Verdana" w:hAnsi="Verdana" w:cstheme="minorHAnsi"/>
          <w:sz w:val="20"/>
          <w:szCs w:val="20"/>
          <w:lang w:val="en-GB"/>
        </w:rPr>
        <w:t xml:space="preserve"> </w:t>
      </w:r>
      <w:r>
        <w:rPr>
          <w:rFonts w:ascii="Verdana" w:hAnsi="Verdana" w:cstheme="minorHAnsi"/>
          <w:sz w:val="20"/>
          <w:szCs w:val="20"/>
          <w:lang w:val="en-GB"/>
        </w:rPr>
        <w:t xml:space="preserve">vessel deployed in Straits Tankers pool </w:t>
      </w:r>
      <w:r w:rsidR="00B1616B">
        <w:rPr>
          <w:rFonts w:ascii="Verdana" w:hAnsi="Verdana" w:cstheme="minorHAnsi"/>
          <w:sz w:val="20"/>
          <w:szCs w:val="20"/>
          <w:lang w:val="en-GB"/>
        </w:rPr>
        <w:t>and vessels deployed in Handyt</w:t>
      </w:r>
      <w:r w:rsidR="00DE57AE">
        <w:rPr>
          <w:rFonts w:ascii="Verdana" w:hAnsi="Verdana" w:cstheme="minorHAnsi"/>
          <w:sz w:val="20"/>
          <w:szCs w:val="20"/>
          <w:lang w:val="en-GB"/>
        </w:rPr>
        <w:t>ankers pool</w:t>
      </w:r>
      <w:r w:rsidR="00802CB1">
        <w:rPr>
          <w:rFonts w:ascii="Verdana" w:hAnsi="Verdana" w:cstheme="minorHAnsi"/>
          <w:sz w:val="20"/>
          <w:szCs w:val="20"/>
          <w:lang w:val="en-GB"/>
        </w:rPr>
        <w:t xml:space="preserve"> respectively</w:t>
      </w:r>
      <w:r w:rsidR="000913ED" w:rsidRPr="00223369">
        <w:rPr>
          <w:rFonts w:ascii="Verdana" w:hAnsi="Verdana" w:cstheme="minorHAnsi"/>
          <w:sz w:val="20"/>
          <w:szCs w:val="20"/>
          <w:lang w:val="en-GB"/>
        </w:rPr>
        <w:t xml:space="preserve"> - to determine whether events have occurred that would require an adjustment to the recognised value of the </w:t>
      </w:r>
      <w:r w:rsidR="00DE57AE">
        <w:rPr>
          <w:rFonts w:ascii="Verdana" w:hAnsi="Verdana" w:cstheme="minorHAnsi"/>
          <w:sz w:val="20"/>
          <w:szCs w:val="20"/>
          <w:lang w:val="en-GB"/>
        </w:rPr>
        <w:t>vessels</w:t>
      </w:r>
      <w:r w:rsidR="00B00E6F">
        <w:rPr>
          <w:rFonts w:ascii="Verdana" w:hAnsi="Verdana" w:cstheme="minorHAnsi"/>
          <w:sz w:val="20"/>
          <w:szCs w:val="20"/>
          <w:lang w:val="en-GB"/>
        </w:rPr>
        <w:t>.</w:t>
      </w:r>
      <w:r w:rsidR="000913ED" w:rsidRPr="00223369">
        <w:rPr>
          <w:rFonts w:ascii="Verdana" w:hAnsi="Verdana" w:cstheme="minorHAnsi"/>
          <w:sz w:val="20"/>
          <w:szCs w:val="20"/>
          <w:lang w:val="en-GB"/>
        </w:rPr>
        <w:t xml:space="preserve"> </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The impairment tests are based on net realisable values assessed by leading and independent international ship brokers, which are compared to the carrying amount of the assets within</w:t>
      </w:r>
      <w:r w:rsidR="00DE57AE">
        <w:rPr>
          <w:rFonts w:ascii="Verdana" w:hAnsi="Verdana" w:cstheme="minorHAnsi"/>
          <w:sz w:val="20"/>
          <w:szCs w:val="20"/>
          <w:lang w:val="en-GB"/>
        </w:rPr>
        <w:t xml:space="preserve"> each of</w:t>
      </w:r>
      <w:r w:rsidRPr="00223369">
        <w:rPr>
          <w:rFonts w:ascii="Verdana" w:hAnsi="Verdana" w:cstheme="minorHAnsi"/>
          <w:sz w:val="20"/>
          <w:szCs w:val="20"/>
          <w:lang w:val="en-GB"/>
        </w:rPr>
        <w:t xml:space="preserve"> the cash generating unit</w:t>
      </w:r>
      <w:r w:rsidR="00DE57AE">
        <w:rPr>
          <w:rFonts w:ascii="Verdana" w:hAnsi="Verdana" w:cstheme="minorHAnsi"/>
          <w:sz w:val="20"/>
          <w:szCs w:val="20"/>
          <w:lang w:val="en-GB"/>
        </w:rPr>
        <w:t>s</w:t>
      </w:r>
      <w:r w:rsidRPr="00223369">
        <w:rPr>
          <w:rFonts w:ascii="Verdana" w:hAnsi="Verdana" w:cstheme="minorHAnsi"/>
          <w:sz w:val="20"/>
          <w:szCs w:val="20"/>
          <w:lang w:val="en-GB"/>
        </w:rPr>
        <w:t xml:space="preserve">. </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The carrying amount of the Group’s vessels may not necessarily represent their actual market value at any point in time as market prices of second-hand vessels to a certain degree fluctuate with changes in charter rates and the cost of new-buildings. </w:t>
      </w:r>
    </w:p>
    <w:p w:rsidR="000913ED"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If the estimated future cash flow or related assumptions change permanently, it may be necessary to reduce the carrying amount of vessels </w:t>
      </w:r>
      <w:r w:rsidR="00C87495">
        <w:rPr>
          <w:rFonts w:ascii="Verdana" w:hAnsi="Verdana" w:cstheme="minorHAnsi"/>
          <w:sz w:val="20"/>
          <w:szCs w:val="20"/>
          <w:lang w:val="en-GB"/>
        </w:rPr>
        <w:t xml:space="preserve">for </w:t>
      </w:r>
      <w:r w:rsidRPr="00223369">
        <w:rPr>
          <w:rFonts w:ascii="Verdana" w:hAnsi="Verdana" w:cstheme="minorHAnsi"/>
          <w:sz w:val="20"/>
          <w:szCs w:val="20"/>
          <w:lang w:val="en-GB"/>
        </w:rPr>
        <w:t>the cash generating unit</w:t>
      </w:r>
      <w:r w:rsidR="00C87495">
        <w:rPr>
          <w:rFonts w:ascii="Verdana" w:hAnsi="Verdana" w:cstheme="minorHAnsi"/>
          <w:sz w:val="20"/>
          <w:szCs w:val="20"/>
          <w:lang w:val="en-GB"/>
        </w:rPr>
        <w:t>s</w:t>
      </w:r>
      <w:r w:rsidRPr="00223369">
        <w:rPr>
          <w:rFonts w:ascii="Verdana" w:hAnsi="Verdana" w:cstheme="minorHAnsi"/>
          <w:sz w:val="20"/>
          <w:szCs w:val="20"/>
          <w:lang w:val="en-GB"/>
        </w:rPr>
        <w:t xml:space="preserve">. </w:t>
      </w:r>
    </w:p>
    <w:p w:rsidR="00E71C50" w:rsidRDefault="00C87495" w:rsidP="00EB243B">
      <w:pPr>
        <w:autoSpaceDE w:val="0"/>
        <w:autoSpaceDN w:val="0"/>
        <w:adjustRightInd w:val="0"/>
        <w:jc w:val="both"/>
        <w:rPr>
          <w:rFonts w:ascii="Verdana" w:hAnsi="Verdana" w:cstheme="minorHAnsi"/>
          <w:sz w:val="20"/>
          <w:szCs w:val="20"/>
          <w:lang w:val="en-GB"/>
        </w:rPr>
      </w:pPr>
      <w:r>
        <w:rPr>
          <w:rFonts w:ascii="Verdana" w:hAnsi="Verdana" w:cstheme="minorHAnsi"/>
          <w:sz w:val="20"/>
          <w:szCs w:val="20"/>
          <w:lang w:val="en-GB"/>
        </w:rPr>
        <w:t>There was no imp</w:t>
      </w:r>
      <w:r w:rsidR="00B00E6F">
        <w:rPr>
          <w:rFonts w:ascii="Verdana" w:hAnsi="Verdana" w:cstheme="minorHAnsi"/>
          <w:sz w:val="20"/>
          <w:szCs w:val="20"/>
          <w:lang w:val="en-GB"/>
        </w:rPr>
        <w:t xml:space="preserve">airment loss recognised in </w:t>
      </w:r>
      <w:r>
        <w:rPr>
          <w:rFonts w:ascii="Verdana" w:hAnsi="Verdana" w:cstheme="minorHAnsi"/>
          <w:sz w:val="20"/>
          <w:szCs w:val="20"/>
          <w:lang w:val="en-GB"/>
        </w:rPr>
        <w:t>2013 (</w:t>
      </w:r>
      <w:r w:rsidRPr="00B00E6F">
        <w:rPr>
          <w:rFonts w:ascii="Verdana" w:hAnsi="Verdana" w:cstheme="minorHAnsi"/>
          <w:sz w:val="20"/>
          <w:szCs w:val="20"/>
          <w:lang w:val="en-GB"/>
        </w:rPr>
        <w:t xml:space="preserve">2012: </w:t>
      </w:r>
      <w:r w:rsidR="00AF27F6" w:rsidRPr="00B00E6F">
        <w:rPr>
          <w:rFonts w:ascii="Verdana" w:hAnsi="Verdana" w:cstheme="minorHAnsi"/>
          <w:sz w:val="20"/>
          <w:szCs w:val="20"/>
          <w:lang w:val="en-GB"/>
        </w:rPr>
        <w:t>USD 39.7</w:t>
      </w:r>
      <w:r w:rsidR="000913ED" w:rsidRPr="00B00E6F">
        <w:rPr>
          <w:rFonts w:ascii="Verdana" w:hAnsi="Verdana" w:cstheme="minorHAnsi"/>
          <w:sz w:val="20"/>
          <w:szCs w:val="20"/>
          <w:lang w:val="en-GB"/>
        </w:rPr>
        <w:t xml:space="preserve"> million</w:t>
      </w:r>
      <w:r w:rsidRPr="00B00E6F">
        <w:rPr>
          <w:rFonts w:ascii="Verdana" w:hAnsi="Verdana" w:cstheme="minorHAnsi"/>
          <w:sz w:val="20"/>
          <w:szCs w:val="20"/>
          <w:lang w:val="en-GB"/>
        </w:rPr>
        <w:t>)</w:t>
      </w:r>
      <w:r w:rsidR="000913ED" w:rsidRPr="00B00E6F">
        <w:rPr>
          <w:rFonts w:ascii="Verdana" w:hAnsi="Verdana" w:cstheme="minorHAnsi"/>
          <w:sz w:val="20"/>
          <w:szCs w:val="20"/>
          <w:lang w:val="en-GB"/>
        </w:rPr>
        <w:t xml:space="preserve">. The carrying amount of </w:t>
      </w:r>
      <w:r w:rsidR="00E71C50" w:rsidRPr="00B00E6F">
        <w:rPr>
          <w:rFonts w:ascii="Verdana" w:hAnsi="Verdana" w:cstheme="minorHAnsi"/>
          <w:sz w:val="20"/>
          <w:szCs w:val="20"/>
          <w:lang w:val="en-GB"/>
        </w:rPr>
        <w:t xml:space="preserve">vessels </w:t>
      </w:r>
      <w:r w:rsidR="000913ED" w:rsidRPr="00B00E6F">
        <w:rPr>
          <w:rFonts w:ascii="Verdana" w:hAnsi="Verdana" w:cstheme="minorHAnsi"/>
          <w:sz w:val="20"/>
          <w:szCs w:val="20"/>
          <w:lang w:val="en-GB"/>
        </w:rPr>
        <w:t>at 31 December 201</w:t>
      </w:r>
      <w:r w:rsidRPr="00B00E6F">
        <w:rPr>
          <w:rFonts w:ascii="Verdana" w:hAnsi="Verdana" w:cstheme="minorHAnsi"/>
          <w:sz w:val="20"/>
          <w:szCs w:val="20"/>
          <w:lang w:val="en-GB"/>
        </w:rPr>
        <w:t>3</w:t>
      </w:r>
      <w:r w:rsidR="000913ED" w:rsidRPr="00B00E6F">
        <w:rPr>
          <w:rFonts w:ascii="Verdana" w:hAnsi="Verdana" w:cstheme="minorHAnsi"/>
          <w:sz w:val="20"/>
          <w:szCs w:val="20"/>
          <w:lang w:val="en-GB"/>
        </w:rPr>
        <w:t xml:space="preserve"> amounted to </w:t>
      </w:r>
      <w:r w:rsidRPr="00B00E6F">
        <w:rPr>
          <w:rFonts w:ascii="Verdana" w:hAnsi="Verdana" w:cstheme="minorHAnsi"/>
          <w:sz w:val="20"/>
          <w:szCs w:val="20"/>
          <w:lang w:val="en-GB"/>
        </w:rPr>
        <w:t xml:space="preserve">USD </w:t>
      </w:r>
      <w:r w:rsidR="00E71C50" w:rsidRPr="00B00E6F">
        <w:rPr>
          <w:rFonts w:ascii="Verdana" w:hAnsi="Verdana" w:cstheme="minorHAnsi"/>
          <w:sz w:val="20"/>
          <w:szCs w:val="20"/>
          <w:lang w:val="en-GB"/>
        </w:rPr>
        <w:t>118</w:t>
      </w:r>
      <w:r w:rsidR="00CA7BDA">
        <w:rPr>
          <w:rFonts w:ascii="Verdana" w:hAnsi="Verdana" w:cstheme="minorHAnsi"/>
          <w:sz w:val="20"/>
          <w:szCs w:val="20"/>
          <w:lang w:val="en-GB"/>
        </w:rPr>
        <w:t>.2</w:t>
      </w:r>
      <w:r w:rsidRPr="00B00E6F">
        <w:rPr>
          <w:rFonts w:ascii="Verdana" w:hAnsi="Verdana" w:cstheme="minorHAnsi"/>
          <w:sz w:val="20"/>
          <w:szCs w:val="20"/>
          <w:lang w:val="en-GB"/>
        </w:rPr>
        <w:t xml:space="preserve"> million (2012: </w:t>
      </w:r>
      <w:r w:rsidR="000913ED" w:rsidRPr="00B00E6F">
        <w:rPr>
          <w:rFonts w:ascii="Verdana" w:hAnsi="Verdana" w:cstheme="minorHAnsi"/>
          <w:sz w:val="20"/>
          <w:szCs w:val="20"/>
          <w:lang w:val="en-GB"/>
        </w:rPr>
        <w:t>USD 123</w:t>
      </w:r>
      <w:r w:rsidR="00CA7BDA">
        <w:rPr>
          <w:rFonts w:ascii="Verdana" w:hAnsi="Verdana" w:cstheme="minorHAnsi"/>
          <w:sz w:val="20"/>
          <w:szCs w:val="20"/>
          <w:lang w:val="en-GB"/>
        </w:rPr>
        <w:t>.0</w:t>
      </w:r>
      <w:r w:rsidR="000913ED" w:rsidRPr="00B00E6F">
        <w:rPr>
          <w:rFonts w:ascii="Verdana" w:hAnsi="Verdana" w:cstheme="minorHAnsi"/>
          <w:sz w:val="20"/>
          <w:szCs w:val="20"/>
          <w:lang w:val="en-GB"/>
        </w:rPr>
        <w:t xml:space="preserve"> million</w:t>
      </w:r>
      <w:r>
        <w:rPr>
          <w:rFonts w:ascii="Verdana" w:hAnsi="Verdana" w:cstheme="minorHAnsi"/>
          <w:sz w:val="20"/>
          <w:szCs w:val="20"/>
          <w:lang w:val="en-GB"/>
        </w:rPr>
        <w:t>)</w:t>
      </w:r>
      <w:r w:rsidR="00E71C50">
        <w:rPr>
          <w:rFonts w:ascii="Verdana" w:hAnsi="Verdana" w:cstheme="minorHAnsi"/>
          <w:sz w:val="20"/>
          <w:szCs w:val="20"/>
          <w:lang w:val="en-GB"/>
        </w:rPr>
        <w:t xml:space="preserve">. </w:t>
      </w:r>
    </w:p>
    <w:p w:rsidR="00802CB1" w:rsidRDefault="00802CB1" w:rsidP="00EB243B">
      <w:pPr>
        <w:autoSpaceDE w:val="0"/>
        <w:autoSpaceDN w:val="0"/>
        <w:adjustRightInd w:val="0"/>
        <w:jc w:val="both"/>
        <w:rPr>
          <w:rFonts w:ascii="Verdana" w:hAnsi="Verdana" w:cstheme="minorHAnsi"/>
          <w:sz w:val="20"/>
          <w:szCs w:val="20"/>
          <w:lang w:val="en-GB"/>
        </w:rPr>
      </w:pPr>
      <w:r>
        <w:rPr>
          <w:rFonts w:ascii="Verdana" w:hAnsi="Verdana" w:cstheme="minorHAnsi"/>
          <w:sz w:val="20"/>
          <w:szCs w:val="20"/>
          <w:lang w:val="en-GB"/>
        </w:rPr>
        <w:lastRenderedPageBreak/>
        <w:t xml:space="preserve">Based on the continued uncertain freight market, management </w:t>
      </w:r>
      <w:r w:rsidR="00D22E43" w:rsidRPr="00A17FEA">
        <w:rPr>
          <w:rFonts w:ascii="Verdana" w:hAnsi="Verdana"/>
          <w:sz w:val="20"/>
          <w:szCs w:val="20"/>
        </w:rPr>
        <w:t>has assessed and decided not to write-back any portion of the impairment that was written-down in 2012.</w:t>
      </w:r>
    </w:p>
    <w:p w:rsidR="000913ED" w:rsidRDefault="00AF27F6" w:rsidP="00EB243B">
      <w:pPr>
        <w:autoSpaceDE w:val="0"/>
        <w:autoSpaceDN w:val="0"/>
        <w:adjustRightInd w:val="0"/>
        <w:jc w:val="both"/>
        <w:rPr>
          <w:rFonts w:ascii="Verdana" w:hAnsi="Verdana" w:cstheme="minorHAnsi"/>
          <w:sz w:val="20"/>
          <w:szCs w:val="20"/>
          <w:lang w:val="en-GB"/>
        </w:rPr>
      </w:pPr>
      <w:r>
        <w:rPr>
          <w:rFonts w:ascii="Verdana" w:hAnsi="Verdana" w:cstheme="minorHAnsi"/>
          <w:sz w:val="20"/>
          <w:szCs w:val="20"/>
          <w:lang w:val="en-GB"/>
        </w:rPr>
        <w:t xml:space="preserve">Please refer to </w:t>
      </w:r>
      <w:r w:rsidRPr="00B00E6F">
        <w:rPr>
          <w:rFonts w:ascii="Verdana" w:hAnsi="Verdana" w:cstheme="minorHAnsi"/>
          <w:sz w:val="20"/>
          <w:szCs w:val="20"/>
          <w:lang w:val="en-GB"/>
        </w:rPr>
        <w:t xml:space="preserve">Note </w:t>
      </w:r>
      <w:r w:rsidR="00B00E6F">
        <w:rPr>
          <w:rFonts w:ascii="Verdana" w:hAnsi="Verdana" w:cstheme="minorHAnsi"/>
          <w:sz w:val="20"/>
          <w:szCs w:val="20"/>
          <w:lang w:val="en-GB"/>
        </w:rPr>
        <w:t>6</w:t>
      </w:r>
      <w:r w:rsidRPr="00B00E6F">
        <w:rPr>
          <w:rFonts w:ascii="Verdana" w:hAnsi="Verdana" w:cstheme="minorHAnsi"/>
          <w:sz w:val="20"/>
          <w:szCs w:val="20"/>
          <w:lang w:val="en-GB"/>
        </w:rPr>
        <w:t xml:space="preserve"> for</w:t>
      </w:r>
      <w:r w:rsidRPr="00223369">
        <w:rPr>
          <w:rFonts w:ascii="Verdana" w:hAnsi="Verdana" w:cstheme="minorHAnsi"/>
          <w:sz w:val="20"/>
          <w:szCs w:val="20"/>
          <w:lang w:val="en-GB"/>
        </w:rPr>
        <w:t xml:space="preserve"> more </w:t>
      </w:r>
      <w:r w:rsidR="000913ED" w:rsidRPr="00223369">
        <w:rPr>
          <w:rFonts w:ascii="Verdana" w:hAnsi="Verdana" w:cstheme="minorHAnsi"/>
          <w:sz w:val="20"/>
          <w:szCs w:val="20"/>
          <w:lang w:val="en-GB"/>
        </w:rPr>
        <w:t>information about the impairment tests performed.</w:t>
      </w:r>
    </w:p>
    <w:p w:rsidR="000913ED" w:rsidRPr="00223369" w:rsidRDefault="00802CB1" w:rsidP="001F7883">
      <w:pPr>
        <w:autoSpaceDE w:val="0"/>
        <w:autoSpaceDN w:val="0"/>
        <w:adjustRightInd w:val="0"/>
        <w:spacing w:before="360" w:after="0"/>
        <w:jc w:val="both"/>
        <w:rPr>
          <w:rFonts w:ascii="Verdana" w:hAnsi="Verdana" w:cstheme="minorHAnsi"/>
          <w:b/>
          <w:bCs/>
          <w:sz w:val="20"/>
          <w:szCs w:val="20"/>
          <w:lang w:val="en-GB"/>
        </w:rPr>
      </w:pPr>
      <w:r>
        <w:rPr>
          <w:rFonts w:ascii="Verdana" w:hAnsi="Verdana" w:cstheme="minorHAnsi"/>
          <w:b/>
          <w:bCs/>
          <w:sz w:val="20"/>
          <w:szCs w:val="20"/>
          <w:lang w:val="en-GB"/>
        </w:rPr>
        <w:t>D</w:t>
      </w:r>
      <w:r w:rsidR="000913ED" w:rsidRPr="00223369">
        <w:rPr>
          <w:rFonts w:ascii="Verdana" w:hAnsi="Verdana" w:cstheme="minorHAnsi"/>
          <w:b/>
          <w:bCs/>
          <w:sz w:val="20"/>
          <w:szCs w:val="20"/>
          <w:lang w:val="en-GB"/>
        </w:rPr>
        <w:t>epreciation periods</w:t>
      </w:r>
    </w:p>
    <w:p w:rsidR="000913ED" w:rsidRDefault="000913ED" w:rsidP="00EB243B">
      <w:pPr>
        <w:autoSpaceDE w:val="0"/>
        <w:autoSpaceDN w:val="0"/>
        <w:adjustRightInd w:val="0"/>
        <w:jc w:val="both"/>
        <w:rPr>
          <w:rFonts w:ascii="Verdana" w:hAnsi="Verdana" w:cstheme="minorHAnsi"/>
          <w:sz w:val="20"/>
          <w:szCs w:val="20"/>
          <w:lang w:val="en-GB"/>
        </w:rPr>
      </w:pPr>
      <w:r w:rsidRPr="00B00E6F">
        <w:rPr>
          <w:rFonts w:ascii="Verdana" w:hAnsi="Verdana" w:cstheme="minorHAnsi"/>
          <w:sz w:val="20"/>
          <w:szCs w:val="20"/>
          <w:lang w:val="en-GB"/>
        </w:rPr>
        <w:t>Depreciation on vessels is material for the Company. Vessels are depreciated over their useful life, which management estimates to be 25 years, to a residual value. The estimates are reassessed regularly based on available information. Changes to estimates of useful lives and residual values may affect the annual depreciation. The carrying amount o</w:t>
      </w:r>
      <w:r w:rsidR="00E71C50" w:rsidRPr="00B00E6F">
        <w:rPr>
          <w:rFonts w:ascii="Verdana" w:hAnsi="Verdana" w:cstheme="minorHAnsi"/>
          <w:sz w:val="20"/>
          <w:szCs w:val="20"/>
          <w:lang w:val="en-GB"/>
        </w:rPr>
        <w:t>f vessels as of 31 December 2013</w:t>
      </w:r>
      <w:r w:rsidRPr="00B00E6F">
        <w:rPr>
          <w:rFonts w:ascii="Verdana" w:hAnsi="Verdana" w:cstheme="minorHAnsi"/>
          <w:sz w:val="20"/>
          <w:szCs w:val="20"/>
          <w:lang w:val="en-GB"/>
        </w:rPr>
        <w:t xml:space="preserve"> amounted to USD </w:t>
      </w:r>
      <w:r w:rsidR="00E71C50" w:rsidRPr="00B00E6F">
        <w:rPr>
          <w:rFonts w:ascii="Verdana" w:hAnsi="Verdana" w:cstheme="minorHAnsi"/>
          <w:sz w:val="20"/>
          <w:szCs w:val="20"/>
          <w:lang w:val="en-GB"/>
        </w:rPr>
        <w:t>118</w:t>
      </w:r>
      <w:r w:rsidR="00CA7BDA">
        <w:rPr>
          <w:rFonts w:ascii="Verdana" w:hAnsi="Verdana" w:cstheme="minorHAnsi"/>
          <w:sz w:val="20"/>
          <w:szCs w:val="20"/>
          <w:lang w:val="en-GB"/>
        </w:rPr>
        <w:t>.2</w:t>
      </w:r>
      <w:r w:rsidR="00E71C50" w:rsidRPr="00B00E6F">
        <w:rPr>
          <w:rFonts w:ascii="Verdana" w:hAnsi="Verdana" w:cstheme="minorHAnsi"/>
          <w:sz w:val="20"/>
          <w:szCs w:val="20"/>
          <w:lang w:val="en-GB"/>
        </w:rPr>
        <w:t xml:space="preserve"> </w:t>
      </w:r>
      <w:r w:rsidRPr="00B00E6F">
        <w:rPr>
          <w:rFonts w:ascii="Verdana" w:hAnsi="Verdana" w:cstheme="minorHAnsi"/>
          <w:sz w:val="20"/>
          <w:szCs w:val="20"/>
          <w:lang w:val="en-GB"/>
        </w:rPr>
        <w:t>million (201</w:t>
      </w:r>
      <w:r w:rsidR="00E71C50" w:rsidRPr="00B00E6F">
        <w:rPr>
          <w:rFonts w:ascii="Verdana" w:hAnsi="Verdana" w:cstheme="minorHAnsi"/>
          <w:sz w:val="20"/>
          <w:szCs w:val="20"/>
          <w:lang w:val="en-GB"/>
        </w:rPr>
        <w:t>2</w:t>
      </w:r>
      <w:r w:rsidRPr="00B00E6F">
        <w:rPr>
          <w:rFonts w:ascii="Verdana" w:hAnsi="Verdana" w:cstheme="minorHAnsi"/>
          <w:sz w:val="20"/>
          <w:szCs w:val="20"/>
          <w:lang w:val="en-GB"/>
        </w:rPr>
        <w:t xml:space="preserve">: USD </w:t>
      </w:r>
      <w:r w:rsidR="00E71C50" w:rsidRPr="00B00E6F">
        <w:rPr>
          <w:rFonts w:ascii="Verdana" w:hAnsi="Verdana" w:cstheme="minorHAnsi"/>
          <w:sz w:val="20"/>
          <w:szCs w:val="20"/>
          <w:lang w:val="en-GB"/>
        </w:rPr>
        <w:t>123</w:t>
      </w:r>
      <w:r w:rsidR="00CA7BDA">
        <w:rPr>
          <w:rFonts w:ascii="Verdana" w:hAnsi="Verdana" w:cstheme="minorHAnsi"/>
          <w:sz w:val="20"/>
          <w:szCs w:val="20"/>
          <w:lang w:val="en-GB"/>
        </w:rPr>
        <w:t>.0</w:t>
      </w:r>
      <w:r w:rsidR="00E71C50" w:rsidRPr="00B00E6F">
        <w:rPr>
          <w:rFonts w:ascii="Verdana" w:hAnsi="Verdana" w:cstheme="minorHAnsi"/>
          <w:sz w:val="20"/>
          <w:szCs w:val="20"/>
          <w:lang w:val="en-GB"/>
        </w:rPr>
        <w:t xml:space="preserve"> </w:t>
      </w:r>
      <w:r w:rsidRPr="00B00E6F">
        <w:rPr>
          <w:rFonts w:ascii="Verdana" w:hAnsi="Verdana" w:cstheme="minorHAnsi"/>
          <w:sz w:val="20"/>
          <w:szCs w:val="20"/>
          <w:lang w:val="en-GB"/>
        </w:rPr>
        <w:t>million).</w:t>
      </w:r>
    </w:p>
    <w:p w:rsidR="00633C3E" w:rsidRPr="00223369" w:rsidRDefault="00E412C7" w:rsidP="00633C3E">
      <w:pPr>
        <w:autoSpaceDE w:val="0"/>
        <w:autoSpaceDN w:val="0"/>
        <w:adjustRightInd w:val="0"/>
        <w:spacing w:before="360" w:after="0"/>
        <w:jc w:val="both"/>
        <w:rPr>
          <w:rFonts w:ascii="Verdana" w:hAnsi="Verdana" w:cstheme="minorHAnsi"/>
          <w:b/>
          <w:bCs/>
          <w:sz w:val="20"/>
          <w:szCs w:val="20"/>
          <w:lang w:val="en-GB"/>
        </w:rPr>
      </w:pPr>
      <w:r>
        <w:rPr>
          <w:rFonts w:ascii="Verdana" w:hAnsi="Verdana" w:cstheme="minorHAnsi"/>
          <w:b/>
          <w:bCs/>
          <w:sz w:val="20"/>
          <w:szCs w:val="20"/>
          <w:lang w:val="en-GB"/>
        </w:rPr>
        <w:t>Gain from</w:t>
      </w:r>
      <w:r w:rsidR="00633C3E">
        <w:rPr>
          <w:rFonts w:ascii="Verdana" w:hAnsi="Verdana" w:cstheme="minorHAnsi"/>
          <w:b/>
          <w:bCs/>
          <w:sz w:val="20"/>
          <w:szCs w:val="20"/>
          <w:lang w:val="en-GB"/>
        </w:rPr>
        <w:t xml:space="preserve"> restructuring</w:t>
      </w:r>
    </w:p>
    <w:p w:rsidR="00D0640C" w:rsidRPr="00E324EB" w:rsidRDefault="00D0640C" w:rsidP="00D0640C">
      <w:pPr>
        <w:pStyle w:val="ListParagraph"/>
        <w:spacing w:after="200" w:line="276" w:lineRule="auto"/>
        <w:ind w:left="0"/>
        <w:jc w:val="both"/>
        <w:rPr>
          <w:rStyle w:val="Strong"/>
          <w:rFonts w:ascii="Verdana" w:hAnsi="Verdana" w:cstheme="minorHAnsi"/>
          <w:b w:val="0"/>
          <w:sz w:val="20"/>
          <w:szCs w:val="20"/>
        </w:rPr>
      </w:pPr>
      <w:r>
        <w:rPr>
          <w:rStyle w:val="Strong"/>
          <w:rFonts w:ascii="Verdana" w:hAnsi="Verdana" w:cstheme="minorHAnsi"/>
          <w:b w:val="0"/>
          <w:sz w:val="20"/>
          <w:szCs w:val="20"/>
        </w:rPr>
        <w:t xml:space="preserve">The transaction price of USD </w:t>
      </w:r>
      <w:r w:rsidRPr="00E324EB">
        <w:rPr>
          <w:rStyle w:val="Strong"/>
          <w:rFonts w:ascii="Verdana" w:hAnsi="Verdana" w:cstheme="minorHAnsi"/>
          <w:b w:val="0"/>
          <w:sz w:val="20"/>
          <w:szCs w:val="20"/>
        </w:rPr>
        <w:t>35.0 million paid by Nordic Maritime</w:t>
      </w:r>
      <w:r w:rsidR="00752FF2">
        <w:rPr>
          <w:rStyle w:val="Strong"/>
          <w:rFonts w:ascii="Verdana" w:hAnsi="Verdana" w:cstheme="minorHAnsi"/>
          <w:b w:val="0"/>
          <w:sz w:val="20"/>
          <w:szCs w:val="20"/>
        </w:rPr>
        <w:t xml:space="preserve"> for a post-restructuring ownership share of 75% of the share capital (before they exercised their option to subscribe for additional shares)</w:t>
      </w:r>
      <w:r>
        <w:rPr>
          <w:rStyle w:val="Strong"/>
          <w:rFonts w:ascii="Verdana" w:hAnsi="Verdana" w:cstheme="minorHAnsi"/>
          <w:b w:val="0"/>
          <w:sz w:val="20"/>
          <w:szCs w:val="20"/>
        </w:rPr>
        <w:t xml:space="preserve"> was used as a basis to determine </w:t>
      </w:r>
      <w:r w:rsidRPr="00E324EB">
        <w:rPr>
          <w:rStyle w:val="Strong"/>
          <w:rFonts w:ascii="Verdana" w:hAnsi="Verdana" w:cstheme="minorHAnsi"/>
          <w:b w:val="0"/>
          <w:sz w:val="20"/>
          <w:szCs w:val="20"/>
        </w:rPr>
        <w:t>the total calculated</w:t>
      </w:r>
      <w:r>
        <w:rPr>
          <w:rStyle w:val="Strong"/>
          <w:rFonts w:ascii="Verdana" w:hAnsi="Verdana" w:cstheme="minorHAnsi"/>
          <w:b w:val="0"/>
          <w:sz w:val="20"/>
          <w:szCs w:val="20"/>
        </w:rPr>
        <w:t xml:space="preserve"> value of shares issued to </w:t>
      </w:r>
      <w:r w:rsidRPr="00E324EB">
        <w:rPr>
          <w:rStyle w:val="Strong"/>
          <w:rFonts w:ascii="Verdana" w:hAnsi="Verdana" w:cstheme="minorHAnsi"/>
          <w:b w:val="0"/>
          <w:sz w:val="20"/>
          <w:szCs w:val="20"/>
        </w:rPr>
        <w:t>Nordic Maritime</w:t>
      </w:r>
      <w:r w:rsidR="004141BB">
        <w:rPr>
          <w:rStyle w:val="Strong"/>
          <w:rFonts w:ascii="Verdana" w:hAnsi="Verdana" w:cstheme="minorHAnsi"/>
          <w:b w:val="0"/>
          <w:sz w:val="20"/>
          <w:szCs w:val="20"/>
        </w:rPr>
        <w:t xml:space="preserve"> and the lending</w:t>
      </w:r>
      <w:r>
        <w:rPr>
          <w:rStyle w:val="Strong"/>
          <w:rFonts w:ascii="Verdana" w:hAnsi="Verdana" w:cstheme="minorHAnsi"/>
          <w:b w:val="0"/>
          <w:sz w:val="20"/>
          <w:szCs w:val="20"/>
        </w:rPr>
        <w:t xml:space="preserve"> banks as a result of the restructuring.  As such, t</w:t>
      </w:r>
      <w:r w:rsidRPr="00E324EB">
        <w:rPr>
          <w:rStyle w:val="Strong"/>
          <w:rFonts w:ascii="Verdana" w:hAnsi="Verdana" w:cstheme="minorHAnsi"/>
          <w:b w:val="0"/>
          <w:sz w:val="20"/>
          <w:szCs w:val="20"/>
        </w:rPr>
        <w:t>he total calculated</w:t>
      </w:r>
      <w:r>
        <w:rPr>
          <w:rStyle w:val="Strong"/>
          <w:rFonts w:ascii="Verdana" w:hAnsi="Verdana" w:cstheme="minorHAnsi"/>
          <w:b w:val="0"/>
          <w:sz w:val="20"/>
          <w:szCs w:val="20"/>
        </w:rPr>
        <w:t xml:space="preserve"> value of shares issued was determined to be USD </w:t>
      </w:r>
      <w:r w:rsidRPr="00E324EB">
        <w:rPr>
          <w:rStyle w:val="Strong"/>
          <w:rFonts w:ascii="Verdana" w:hAnsi="Verdana" w:cstheme="minorHAnsi"/>
          <w:b w:val="0"/>
          <w:sz w:val="20"/>
          <w:szCs w:val="20"/>
        </w:rPr>
        <w:t>42.0 milli</w:t>
      </w:r>
      <w:r>
        <w:rPr>
          <w:rStyle w:val="Strong"/>
          <w:rFonts w:ascii="Verdana" w:hAnsi="Verdana" w:cstheme="minorHAnsi"/>
          <w:b w:val="0"/>
          <w:sz w:val="20"/>
          <w:szCs w:val="20"/>
        </w:rPr>
        <w:t xml:space="preserve">on for a debt conversion of USD 72.1 million (debt and interest rate swap). </w:t>
      </w:r>
      <w:r w:rsidRPr="00E324EB">
        <w:rPr>
          <w:rStyle w:val="Strong"/>
          <w:rFonts w:ascii="Verdana" w:hAnsi="Verdana" w:cstheme="minorHAnsi"/>
          <w:b w:val="0"/>
          <w:sz w:val="20"/>
          <w:szCs w:val="20"/>
        </w:rPr>
        <w:t>This results</w:t>
      </w:r>
      <w:r>
        <w:rPr>
          <w:rStyle w:val="Strong"/>
          <w:rFonts w:ascii="Verdana" w:hAnsi="Verdana" w:cstheme="minorHAnsi"/>
          <w:b w:val="0"/>
          <w:sz w:val="20"/>
          <w:szCs w:val="20"/>
        </w:rPr>
        <w:t xml:space="preserve"> in a gain of approximately USD </w:t>
      </w:r>
      <w:r w:rsidRPr="00E324EB">
        <w:rPr>
          <w:rStyle w:val="Strong"/>
          <w:rFonts w:ascii="Verdana" w:hAnsi="Verdana" w:cstheme="minorHAnsi"/>
          <w:b w:val="0"/>
          <w:sz w:val="20"/>
          <w:szCs w:val="20"/>
        </w:rPr>
        <w:t xml:space="preserve">30.1 million before adjusting for net hedging loss </w:t>
      </w:r>
      <w:r w:rsidR="004F6DFA">
        <w:rPr>
          <w:rStyle w:val="Strong"/>
          <w:rFonts w:ascii="Verdana" w:hAnsi="Verdana" w:cstheme="minorHAnsi"/>
          <w:b w:val="0"/>
          <w:sz w:val="20"/>
          <w:szCs w:val="20"/>
        </w:rPr>
        <w:t xml:space="preserve">(for the interest rate swap) </w:t>
      </w:r>
      <w:r w:rsidR="00802CB1">
        <w:rPr>
          <w:rStyle w:val="Strong"/>
          <w:rFonts w:ascii="Verdana" w:hAnsi="Verdana" w:cstheme="minorHAnsi"/>
          <w:b w:val="0"/>
          <w:sz w:val="20"/>
          <w:szCs w:val="20"/>
        </w:rPr>
        <w:t>accumulated in other comprehensive income</w:t>
      </w:r>
      <w:r w:rsidRPr="00E324EB">
        <w:rPr>
          <w:rStyle w:val="Strong"/>
          <w:rFonts w:ascii="Verdana" w:hAnsi="Verdana" w:cstheme="minorHAnsi"/>
          <w:b w:val="0"/>
          <w:sz w:val="20"/>
          <w:szCs w:val="20"/>
        </w:rPr>
        <w:t xml:space="preserve"> of USD</w:t>
      </w:r>
      <w:r>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1.5 million.</w:t>
      </w:r>
    </w:p>
    <w:p w:rsidR="000913ED" w:rsidRPr="00223369" w:rsidRDefault="000913ED" w:rsidP="001F7883">
      <w:pPr>
        <w:autoSpaceDE w:val="0"/>
        <w:autoSpaceDN w:val="0"/>
        <w:adjustRightInd w:val="0"/>
        <w:spacing w:before="360" w:after="0"/>
        <w:jc w:val="both"/>
        <w:rPr>
          <w:rFonts w:ascii="Verdana" w:hAnsi="Verdana" w:cstheme="minorHAnsi"/>
          <w:b/>
          <w:bCs/>
          <w:sz w:val="20"/>
          <w:szCs w:val="20"/>
          <w:lang w:val="en-GB"/>
        </w:rPr>
      </w:pPr>
      <w:r w:rsidRPr="00223369">
        <w:rPr>
          <w:rFonts w:ascii="Verdana" w:hAnsi="Verdana" w:cstheme="minorHAnsi"/>
          <w:b/>
          <w:bCs/>
          <w:sz w:val="20"/>
          <w:szCs w:val="20"/>
          <w:lang w:val="en-GB"/>
        </w:rPr>
        <w:t>Recognition of deferred tax assets</w:t>
      </w:r>
    </w:p>
    <w:p w:rsidR="005E6F27"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Entities in the Group are taxed in accordance with the Danish Tonnage Tax Act for shipping activities, general tax legislation for other activities and net financial income and local tax legislation for foreign entities. </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Deferred tax assets arising from unused tax losses are recognised to the extent that management expects such to be offset in future taxable income. The carrying amount of deferre</w:t>
      </w:r>
      <w:r w:rsidR="00E71C50">
        <w:rPr>
          <w:rFonts w:ascii="Verdana" w:hAnsi="Verdana" w:cstheme="minorHAnsi"/>
          <w:sz w:val="20"/>
          <w:szCs w:val="20"/>
          <w:lang w:val="en-GB"/>
        </w:rPr>
        <w:t>d tax assets at 31 December 2013</w:t>
      </w:r>
      <w:r w:rsidRPr="00223369">
        <w:rPr>
          <w:rFonts w:ascii="Verdana" w:hAnsi="Verdana" w:cstheme="minorHAnsi"/>
          <w:sz w:val="20"/>
          <w:szCs w:val="20"/>
          <w:lang w:val="en-GB"/>
        </w:rPr>
        <w:t xml:space="preserve"> amounted to USD 0</w:t>
      </w:r>
      <w:r>
        <w:rPr>
          <w:rFonts w:ascii="Verdana" w:hAnsi="Verdana" w:cstheme="minorHAnsi"/>
          <w:sz w:val="20"/>
          <w:szCs w:val="20"/>
          <w:lang w:val="en-GB"/>
        </w:rPr>
        <w:t xml:space="preserve"> million (201</w:t>
      </w:r>
      <w:r w:rsidR="00E71C50">
        <w:rPr>
          <w:rFonts w:ascii="Verdana" w:hAnsi="Verdana" w:cstheme="minorHAnsi"/>
          <w:sz w:val="20"/>
          <w:szCs w:val="20"/>
          <w:lang w:val="en-GB"/>
        </w:rPr>
        <w:t>2</w:t>
      </w:r>
      <w:r>
        <w:rPr>
          <w:rFonts w:ascii="Verdana" w:hAnsi="Verdana" w:cstheme="minorHAnsi"/>
          <w:sz w:val="20"/>
          <w:szCs w:val="20"/>
          <w:lang w:val="en-GB"/>
        </w:rPr>
        <w:t>: USD 0 million).</w:t>
      </w:r>
    </w:p>
    <w:p w:rsidR="00E14428" w:rsidRDefault="00E14428" w:rsidP="001F7883">
      <w:pPr>
        <w:autoSpaceDE w:val="0"/>
        <w:autoSpaceDN w:val="0"/>
        <w:adjustRightInd w:val="0"/>
        <w:spacing w:before="360" w:after="0"/>
        <w:jc w:val="both"/>
        <w:rPr>
          <w:rFonts w:ascii="Verdana" w:hAnsi="Verdana" w:cstheme="minorHAnsi"/>
          <w:b/>
          <w:bCs/>
          <w:sz w:val="20"/>
          <w:szCs w:val="20"/>
          <w:lang w:val="en-GB"/>
        </w:rPr>
      </w:pPr>
      <w:r>
        <w:rPr>
          <w:rFonts w:ascii="Verdana" w:hAnsi="Verdana" w:cstheme="minorHAnsi"/>
          <w:b/>
          <w:bCs/>
          <w:sz w:val="20"/>
          <w:szCs w:val="20"/>
          <w:lang w:val="en-GB"/>
        </w:rPr>
        <w:t>Docking of Nordic Ruth</w:t>
      </w:r>
    </w:p>
    <w:p w:rsidR="00E14428" w:rsidRPr="00E14428" w:rsidRDefault="00E71C50" w:rsidP="00E14428">
      <w:pPr>
        <w:autoSpaceDE w:val="0"/>
        <w:autoSpaceDN w:val="0"/>
        <w:adjustRightInd w:val="0"/>
        <w:jc w:val="both"/>
        <w:rPr>
          <w:rFonts w:ascii="Verdana" w:hAnsi="Verdana" w:cstheme="minorHAnsi"/>
          <w:sz w:val="20"/>
          <w:szCs w:val="20"/>
          <w:lang w:val="en-GB"/>
        </w:rPr>
      </w:pPr>
      <w:r>
        <w:rPr>
          <w:rFonts w:ascii="Verdana" w:hAnsi="Verdana"/>
          <w:sz w:val="20"/>
          <w:szCs w:val="20"/>
          <w:lang w:val="en-GB"/>
        </w:rPr>
        <w:t>From</w:t>
      </w:r>
      <w:r w:rsidR="00340AB4">
        <w:rPr>
          <w:rFonts w:ascii="Verdana" w:hAnsi="Verdana"/>
          <w:sz w:val="20"/>
          <w:szCs w:val="20"/>
          <w:lang w:val="en-GB"/>
        </w:rPr>
        <w:t xml:space="preserve"> December 2012</w:t>
      </w:r>
      <w:r>
        <w:rPr>
          <w:rFonts w:ascii="Verdana" w:hAnsi="Verdana"/>
          <w:sz w:val="20"/>
          <w:szCs w:val="20"/>
          <w:lang w:val="en-GB"/>
        </w:rPr>
        <w:t xml:space="preserve"> to June 2013</w:t>
      </w:r>
      <w:r w:rsidR="00340AB4">
        <w:rPr>
          <w:rFonts w:ascii="Verdana" w:hAnsi="Verdana"/>
          <w:sz w:val="20"/>
          <w:szCs w:val="20"/>
          <w:lang w:val="en-GB"/>
        </w:rPr>
        <w:t>, Nordic Ruth went off-hire due to severe damages in the vessel’s water ballast tanks.</w:t>
      </w:r>
      <w:r>
        <w:rPr>
          <w:rFonts w:ascii="Verdana" w:hAnsi="Verdana"/>
          <w:sz w:val="20"/>
          <w:szCs w:val="20"/>
          <w:lang w:val="en-GB"/>
        </w:rPr>
        <w:t xml:space="preserve"> As at 31 December 2013, the expected amount receivable from the insurer is USD 1.7 million</w:t>
      </w:r>
      <w:r w:rsidR="00263E33">
        <w:rPr>
          <w:rFonts w:ascii="Verdana" w:hAnsi="Verdana"/>
          <w:sz w:val="20"/>
          <w:szCs w:val="20"/>
          <w:lang w:val="en-GB"/>
        </w:rPr>
        <w:t xml:space="preserve"> and is still encumbered with uncertainty</w:t>
      </w:r>
      <w:r>
        <w:rPr>
          <w:rFonts w:ascii="Verdana" w:hAnsi="Verdana"/>
          <w:sz w:val="20"/>
          <w:szCs w:val="20"/>
          <w:lang w:val="en-GB"/>
        </w:rPr>
        <w:t>.</w:t>
      </w:r>
      <w:r w:rsidR="00621F3C">
        <w:rPr>
          <w:rFonts w:ascii="Verdana" w:hAnsi="Verdana"/>
          <w:sz w:val="20"/>
          <w:szCs w:val="20"/>
          <w:lang w:val="en-GB"/>
        </w:rPr>
        <w:t xml:space="preserve"> </w:t>
      </w:r>
      <w:r w:rsidR="00E628D6">
        <w:rPr>
          <w:rFonts w:ascii="Verdana" w:hAnsi="Verdana"/>
          <w:sz w:val="20"/>
          <w:szCs w:val="20"/>
          <w:lang w:val="en-GB"/>
        </w:rPr>
        <w:t xml:space="preserve">Cost </w:t>
      </w:r>
      <w:r>
        <w:rPr>
          <w:rFonts w:ascii="Verdana" w:hAnsi="Verdana"/>
          <w:sz w:val="20"/>
          <w:szCs w:val="20"/>
          <w:lang w:val="en-GB"/>
        </w:rPr>
        <w:t>capitalised as dry-docking amounted to USD 0.8 million</w:t>
      </w:r>
      <w:r w:rsidR="00E628D6">
        <w:rPr>
          <w:rFonts w:ascii="Verdana" w:hAnsi="Verdana"/>
          <w:sz w:val="20"/>
          <w:szCs w:val="20"/>
          <w:lang w:val="en-GB"/>
        </w:rPr>
        <w:t xml:space="preserve">. </w:t>
      </w:r>
    </w:p>
    <w:p w:rsidR="00EB243B" w:rsidRDefault="00EB243B">
      <w:pPr>
        <w:rPr>
          <w:rFonts w:ascii="Verdana" w:hAnsi="Verdana" w:cstheme="minorHAnsi"/>
          <w:color w:val="FF0000"/>
          <w:sz w:val="20"/>
          <w:szCs w:val="20"/>
          <w:lang w:val="en-GB"/>
        </w:rPr>
      </w:pPr>
      <w:r>
        <w:rPr>
          <w:rFonts w:ascii="Verdana" w:hAnsi="Verdana" w:cstheme="minorHAnsi"/>
          <w:color w:val="FF0000"/>
          <w:sz w:val="20"/>
          <w:szCs w:val="20"/>
          <w:lang w:val="en-GB"/>
        </w:rPr>
        <w:br w:type="page"/>
      </w:r>
    </w:p>
    <w:p w:rsidR="000913ED" w:rsidRPr="00D66BD5" w:rsidRDefault="000913ED" w:rsidP="00854549">
      <w:pPr>
        <w:pStyle w:val="ListParagraph"/>
        <w:numPr>
          <w:ilvl w:val="0"/>
          <w:numId w:val="36"/>
        </w:numPr>
        <w:spacing w:after="200" w:line="276" w:lineRule="auto"/>
        <w:ind w:left="567" w:hanging="567"/>
        <w:jc w:val="both"/>
        <w:rPr>
          <w:rStyle w:val="Strong"/>
          <w:rFonts w:ascii="Verdana" w:hAnsi="Verdana" w:cstheme="minorHAnsi"/>
          <w:color w:val="95B3D7" w:themeColor="accent1" w:themeTint="99"/>
          <w:sz w:val="20"/>
          <w:szCs w:val="20"/>
        </w:rPr>
      </w:pPr>
      <w:r w:rsidRPr="00D66BD5">
        <w:rPr>
          <w:rStyle w:val="Strong"/>
          <w:rFonts w:ascii="Verdana" w:hAnsi="Verdana" w:cstheme="minorHAnsi"/>
          <w:color w:val="95B3D7" w:themeColor="accent1" w:themeTint="99"/>
          <w:sz w:val="20"/>
          <w:szCs w:val="20"/>
        </w:rPr>
        <w:lastRenderedPageBreak/>
        <w:t>Accounting policies</w:t>
      </w:r>
    </w:p>
    <w:p w:rsidR="000913ED" w:rsidRPr="001F7883" w:rsidRDefault="000913ED" w:rsidP="00BD2C69">
      <w:pPr>
        <w:autoSpaceDE w:val="0"/>
        <w:autoSpaceDN w:val="0"/>
        <w:adjustRightInd w:val="0"/>
        <w:spacing w:after="0"/>
        <w:jc w:val="both"/>
        <w:rPr>
          <w:rFonts w:ascii="Verdana" w:hAnsi="Verdana" w:cstheme="minorHAnsi"/>
          <w:b/>
          <w:bCs/>
          <w:sz w:val="20"/>
          <w:szCs w:val="20"/>
          <w:lang w:val="en-GB"/>
        </w:rPr>
      </w:pPr>
      <w:r w:rsidRPr="001F7883">
        <w:rPr>
          <w:rFonts w:ascii="Verdana" w:hAnsi="Verdana" w:cstheme="minorHAnsi"/>
          <w:b/>
          <w:bCs/>
          <w:sz w:val="20"/>
          <w:szCs w:val="20"/>
          <w:lang w:val="en-GB"/>
        </w:rPr>
        <w:t>Basis of preparation</w:t>
      </w:r>
    </w:p>
    <w:p w:rsidR="000913ED" w:rsidRDefault="000913ED" w:rsidP="00BD2C69">
      <w:pPr>
        <w:autoSpaceDE w:val="0"/>
        <w:autoSpaceDN w:val="0"/>
        <w:adjustRightInd w:val="0"/>
        <w:spacing w:after="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The annual report of Nordic Shipholding A/S includes the consolidated financial statements and the fin</w:t>
      </w:r>
      <w:r w:rsidR="00E412C7">
        <w:rPr>
          <w:rFonts w:ascii="Verdana" w:hAnsi="Verdana" w:cstheme="minorHAnsi"/>
          <w:color w:val="000000"/>
          <w:sz w:val="20"/>
          <w:szCs w:val="20"/>
          <w:lang w:val="en-GB"/>
        </w:rPr>
        <w:t>ancial statements of the C</w:t>
      </w:r>
      <w:r w:rsidRPr="00223369">
        <w:rPr>
          <w:rFonts w:ascii="Verdana" w:hAnsi="Verdana" w:cstheme="minorHAnsi"/>
          <w:color w:val="000000"/>
          <w:sz w:val="20"/>
          <w:szCs w:val="20"/>
          <w:lang w:val="en-GB"/>
        </w:rPr>
        <w:t xml:space="preserve">ompany, has been prepared in accordance with International </w:t>
      </w:r>
      <w:r w:rsidR="00D01DB2">
        <w:rPr>
          <w:rFonts w:ascii="Verdana" w:hAnsi="Verdana" w:cstheme="minorHAnsi"/>
          <w:color w:val="000000"/>
          <w:sz w:val="20"/>
          <w:szCs w:val="20"/>
          <w:lang w:val="en-GB"/>
        </w:rPr>
        <w:t>F</w:t>
      </w:r>
      <w:r w:rsidRPr="00223369">
        <w:rPr>
          <w:rFonts w:ascii="Verdana" w:hAnsi="Verdana" w:cstheme="minorHAnsi"/>
          <w:color w:val="000000"/>
          <w:sz w:val="20"/>
          <w:szCs w:val="20"/>
          <w:lang w:val="en-GB"/>
        </w:rPr>
        <w:t>inancial Reporting Standards (IFRS) as adopted by the EU and additional Danish disclosure requirements for annual reports of listed companies (reporting class D). The accounting policies are consistent with those applied to the annual report for 201</w:t>
      </w:r>
      <w:r w:rsidR="00D01DB2">
        <w:rPr>
          <w:rFonts w:ascii="Verdana" w:hAnsi="Verdana" w:cstheme="minorHAnsi"/>
          <w:color w:val="000000"/>
          <w:sz w:val="20"/>
          <w:szCs w:val="20"/>
          <w:lang w:val="en-GB"/>
        </w:rPr>
        <w:t>2</w:t>
      </w:r>
      <w:r w:rsidRPr="00223369">
        <w:rPr>
          <w:rFonts w:ascii="Verdana" w:hAnsi="Verdana" w:cstheme="minorHAnsi"/>
          <w:color w:val="000000"/>
          <w:sz w:val="20"/>
          <w:szCs w:val="20"/>
          <w:lang w:val="en-GB"/>
        </w:rPr>
        <w:t xml:space="preserve"> with the exception of the adjustments resulting from the implementation of new and revised standards and interpretation as described below. </w:t>
      </w:r>
    </w:p>
    <w:p w:rsidR="00685689" w:rsidRPr="00223369" w:rsidRDefault="00685689" w:rsidP="00BD2C69">
      <w:pPr>
        <w:autoSpaceDE w:val="0"/>
        <w:autoSpaceDN w:val="0"/>
        <w:adjustRightInd w:val="0"/>
        <w:spacing w:after="0"/>
        <w:jc w:val="both"/>
        <w:rPr>
          <w:rFonts w:ascii="Verdana" w:hAnsi="Verdana" w:cstheme="minorHAnsi"/>
          <w:color w:val="000000"/>
          <w:sz w:val="20"/>
          <w:szCs w:val="20"/>
          <w:lang w:val="en-GB"/>
        </w:rPr>
      </w:pPr>
    </w:p>
    <w:p w:rsidR="000913ED" w:rsidRPr="001F7883" w:rsidRDefault="000913ED" w:rsidP="00BD2C69">
      <w:pPr>
        <w:autoSpaceDE w:val="0"/>
        <w:autoSpaceDN w:val="0"/>
        <w:adjustRightInd w:val="0"/>
        <w:spacing w:after="0"/>
        <w:jc w:val="both"/>
        <w:rPr>
          <w:rFonts w:ascii="Verdana" w:hAnsi="Verdana" w:cstheme="minorHAnsi"/>
          <w:b/>
          <w:bCs/>
          <w:sz w:val="20"/>
          <w:szCs w:val="20"/>
          <w:lang w:val="en-GB"/>
        </w:rPr>
      </w:pPr>
      <w:r w:rsidRPr="001F7883">
        <w:rPr>
          <w:rFonts w:ascii="Verdana" w:hAnsi="Verdana" w:cstheme="minorHAnsi"/>
          <w:b/>
          <w:bCs/>
          <w:sz w:val="20"/>
          <w:szCs w:val="20"/>
          <w:lang w:val="en-GB"/>
        </w:rPr>
        <w:t xml:space="preserve">New accounting policies including presentation and implementation of accounting standards </w:t>
      </w:r>
    </w:p>
    <w:p w:rsidR="000913ED" w:rsidRDefault="000913ED" w:rsidP="00BD2C69">
      <w:pPr>
        <w:autoSpaceDE w:val="0"/>
        <w:autoSpaceDN w:val="0"/>
        <w:adjustRightInd w:val="0"/>
        <w:spacing w:after="0"/>
        <w:jc w:val="both"/>
        <w:rPr>
          <w:rFonts w:ascii="Verdana" w:hAnsi="Verdana" w:cstheme="minorHAnsi"/>
          <w:sz w:val="20"/>
          <w:szCs w:val="20"/>
        </w:rPr>
      </w:pPr>
      <w:r w:rsidRPr="00223369">
        <w:rPr>
          <w:rFonts w:ascii="Verdana" w:hAnsi="Verdana" w:cstheme="minorHAnsi"/>
          <w:sz w:val="20"/>
          <w:szCs w:val="20"/>
        </w:rPr>
        <w:t>Nordic Shipholding has adopted all new, amended standards, revised accounting standards and interpretations (IFRIC) as endorsed by the EU and which are effective for the financial year 1 January 201</w:t>
      </w:r>
      <w:r w:rsidR="00D01DB2">
        <w:rPr>
          <w:rFonts w:ascii="Verdana" w:hAnsi="Verdana" w:cstheme="minorHAnsi"/>
          <w:sz w:val="20"/>
          <w:szCs w:val="20"/>
        </w:rPr>
        <w:t>3 - 31 December 2013</w:t>
      </w:r>
      <w:r w:rsidRPr="00223369">
        <w:rPr>
          <w:rFonts w:ascii="Verdana" w:hAnsi="Verdana" w:cstheme="minorHAnsi"/>
          <w:sz w:val="20"/>
          <w:szCs w:val="20"/>
        </w:rPr>
        <w:t xml:space="preserve">. </w:t>
      </w:r>
    </w:p>
    <w:p w:rsidR="00685689" w:rsidRPr="00223369" w:rsidRDefault="00685689" w:rsidP="00BD2C69">
      <w:pPr>
        <w:autoSpaceDE w:val="0"/>
        <w:autoSpaceDN w:val="0"/>
        <w:adjustRightInd w:val="0"/>
        <w:spacing w:after="0"/>
        <w:jc w:val="both"/>
        <w:rPr>
          <w:rFonts w:ascii="Verdana" w:hAnsi="Verdana" w:cstheme="minorHAnsi"/>
          <w:sz w:val="20"/>
          <w:szCs w:val="20"/>
        </w:rPr>
      </w:pPr>
    </w:p>
    <w:p w:rsidR="00D01DB2" w:rsidRDefault="000913ED" w:rsidP="00BD2C69">
      <w:pPr>
        <w:autoSpaceDE w:val="0"/>
        <w:autoSpaceDN w:val="0"/>
        <w:adjustRightInd w:val="0"/>
        <w:spacing w:after="0"/>
        <w:jc w:val="both"/>
        <w:rPr>
          <w:rFonts w:ascii="Verdana" w:hAnsi="Verdana" w:cstheme="minorHAnsi"/>
          <w:color w:val="000000"/>
          <w:sz w:val="20"/>
          <w:szCs w:val="20"/>
          <w:lang w:val="en-GB"/>
        </w:rPr>
      </w:pPr>
      <w:r w:rsidRPr="00223369">
        <w:rPr>
          <w:rFonts w:ascii="Verdana" w:hAnsi="Verdana" w:cstheme="minorHAnsi"/>
          <w:sz w:val="20"/>
          <w:szCs w:val="20"/>
        </w:rPr>
        <w:t>With effect from 1 January 201</w:t>
      </w:r>
      <w:r w:rsidR="00D01DB2">
        <w:rPr>
          <w:rFonts w:ascii="Verdana" w:hAnsi="Verdana" w:cstheme="minorHAnsi"/>
          <w:sz w:val="20"/>
          <w:szCs w:val="20"/>
        </w:rPr>
        <w:t>3</w:t>
      </w:r>
      <w:r w:rsidRPr="00223369">
        <w:rPr>
          <w:rFonts w:ascii="Verdana" w:hAnsi="Verdana" w:cstheme="minorHAnsi"/>
          <w:sz w:val="20"/>
          <w:szCs w:val="20"/>
        </w:rPr>
        <w:t xml:space="preserve">, the following new and amended IFRSs and Interpretations were implemented: </w:t>
      </w:r>
      <w:r w:rsidR="00D01DB2" w:rsidRPr="00223369">
        <w:rPr>
          <w:rFonts w:ascii="Verdana" w:hAnsi="Verdana" w:cstheme="minorHAnsi"/>
          <w:color w:val="000000"/>
          <w:sz w:val="20"/>
          <w:szCs w:val="20"/>
          <w:lang w:val="en-GB"/>
        </w:rPr>
        <w:t xml:space="preserve">Annual improvements 2009-2011, IFRS 7, IFRS 9, IFRS 10, IFRS 11, IFRS 12, IFRS 13, IAS 1, IAS 19, IAS 27, IAS 28, IAS 32 and IFRIC 20. </w:t>
      </w:r>
    </w:p>
    <w:p w:rsidR="00685689" w:rsidRPr="00223369" w:rsidRDefault="00685689" w:rsidP="00BD2C69">
      <w:pPr>
        <w:autoSpaceDE w:val="0"/>
        <w:autoSpaceDN w:val="0"/>
        <w:adjustRightInd w:val="0"/>
        <w:spacing w:after="0"/>
        <w:jc w:val="both"/>
        <w:rPr>
          <w:rFonts w:ascii="Verdana" w:hAnsi="Verdana" w:cstheme="minorHAnsi"/>
          <w:color w:val="000000"/>
          <w:sz w:val="20"/>
          <w:szCs w:val="20"/>
          <w:lang w:val="en-GB"/>
        </w:rPr>
      </w:pPr>
    </w:p>
    <w:p w:rsidR="00685689" w:rsidRDefault="000913ED" w:rsidP="00BD2C69">
      <w:pPr>
        <w:autoSpaceDE w:val="0"/>
        <w:autoSpaceDN w:val="0"/>
        <w:adjustRightInd w:val="0"/>
        <w:spacing w:after="0"/>
        <w:jc w:val="both"/>
        <w:rPr>
          <w:rFonts w:ascii="Verdana" w:hAnsi="Verdana" w:cstheme="minorHAnsi"/>
          <w:sz w:val="20"/>
          <w:szCs w:val="20"/>
        </w:rPr>
      </w:pPr>
      <w:r w:rsidRPr="00223369">
        <w:rPr>
          <w:rFonts w:ascii="Verdana" w:hAnsi="Verdana" w:cstheme="minorHAnsi"/>
          <w:sz w:val="20"/>
          <w:szCs w:val="20"/>
        </w:rPr>
        <w:t>Nordic Shipholding has implemented these standards which had no material impact on the financial statements for the current or future years.</w:t>
      </w:r>
      <w:r w:rsidR="00B00E6F">
        <w:rPr>
          <w:rFonts w:ascii="Verdana" w:hAnsi="Verdana" w:cstheme="minorHAnsi"/>
          <w:sz w:val="20"/>
          <w:szCs w:val="20"/>
        </w:rPr>
        <w:t xml:space="preserve"> IFRS 11 has been pre-implemented as this standard is first effective in EU for 1 January 2014. The activities of vessels operating in pools are treated as joint operations. Earnings are recognised gross in the income statement compared to previously net on a time charter-equivalent basis. This change in revenue recognition had no impact on the Statement of Financial Position for the Company and the Group.</w:t>
      </w:r>
    </w:p>
    <w:p w:rsidR="00A8750D" w:rsidRDefault="00A8750D" w:rsidP="00BD2C69">
      <w:pPr>
        <w:autoSpaceDE w:val="0"/>
        <w:autoSpaceDN w:val="0"/>
        <w:adjustRightInd w:val="0"/>
        <w:spacing w:after="0"/>
        <w:jc w:val="both"/>
        <w:rPr>
          <w:rFonts w:ascii="Verdana" w:hAnsi="Verdana" w:cstheme="minorHAnsi"/>
          <w:sz w:val="20"/>
          <w:szCs w:val="20"/>
        </w:rPr>
      </w:pPr>
    </w:p>
    <w:p w:rsidR="00685689" w:rsidRPr="00BD2C69" w:rsidRDefault="004C7F6A" w:rsidP="00BD2C69">
      <w:pPr>
        <w:pStyle w:val="Heading1"/>
        <w:spacing w:before="0"/>
        <w:jc w:val="both"/>
      </w:pPr>
      <w:r w:rsidRPr="00BD2C69">
        <w:rPr>
          <w:rFonts w:ascii="Verdana" w:hAnsi="Verdana"/>
          <w:color w:val="auto"/>
          <w:sz w:val="20"/>
          <w:szCs w:val="20"/>
        </w:rPr>
        <w:t>New or amended IFRSs that have been issued but have not yet come into effect and have not been early adopted</w:t>
      </w:r>
    </w:p>
    <w:p w:rsidR="004C7F6A" w:rsidRPr="00BD2C69" w:rsidRDefault="004C7F6A" w:rsidP="00BD2C69">
      <w:pPr>
        <w:spacing w:after="0"/>
        <w:jc w:val="both"/>
        <w:rPr>
          <w:rFonts w:ascii="Verdana" w:hAnsi="Verdana"/>
          <w:sz w:val="20"/>
          <w:szCs w:val="20"/>
        </w:rPr>
      </w:pPr>
      <w:r w:rsidRPr="00BD2C69">
        <w:rPr>
          <w:rFonts w:ascii="Verdana" w:hAnsi="Verdana" w:cs="Frutiger-Light"/>
          <w:sz w:val="20"/>
          <w:szCs w:val="20"/>
        </w:rPr>
        <w:t xml:space="preserve">In addition to the above, IASB has issued a number of new or amended and revised accounting standards and interpretations that have not yet come into effect. It is </w:t>
      </w:r>
      <w:r w:rsidR="008D3E76">
        <w:rPr>
          <w:rFonts w:ascii="Verdana" w:hAnsi="Verdana" w:cs="Frutiger-Light"/>
          <w:sz w:val="20"/>
          <w:szCs w:val="20"/>
        </w:rPr>
        <w:t>m</w:t>
      </w:r>
      <w:r w:rsidRPr="00BD2C69">
        <w:rPr>
          <w:rFonts w:ascii="Verdana" w:hAnsi="Verdana" w:cs="Frutiger-Light"/>
          <w:sz w:val="20"/>
          <w:szCs w:val="20"/>
        </w:rPr>
        <w:t>anagement</w:t>
      </w:r>
      <w:r w:rsidR="008D3E76">
        <w:rPr>
          <w:rFonts w:ascii="Verdana" w:hAnsi="Verdana" w:cs="Frutiger-Light"/>
          <w:sz w:val="20"/>
          <w:szCs w:val="20"/>
        </w:rPr>
        <w:t>’s</w:t>
      </w:r>
      <w:r w:rsidRPr="00BD2C69">
        <w:rPr>
          <w:rFonts w:ascii="Verdana" w:hAnsi="Verdana" w:cs="Frutiger-Light"/>
          <w:sz w:val="20"/>
          <w:szCs w:val="20"/>
        </w:rPr>
        <w:t xml:space="preserve"> assessment that none of these will have a material effect to the Financial Statements for 2014. </w:t>
      </w:r>
    </w:p>
    <w:p w:rsidR="00A8750D" w:rsidRPr="00223369" w:rsidRDefault="00A8750D" w:rsidP="00BD2C69">
      <w:pPr>
        <w:autoSpaceDE w:val="0"/>
        <w:autoSpaceDN w:val="0"/>
        <w:adjustRightInd w:val="0"/>
        <w:spacing w:after="0"/>
        <w:jc w:val="both"/>
        <w:rPr>
          <w:rFonts w:ascii="Verdana" w:hAnsi="Verdana" w:cstheme="minorHAnsi"/>
          <w:color w:val="000000"/>
          <w:sz w:val="20"/>
          <w:szCs w:val="20"/>
        </w:rPr>
      </w:pPr>
    </w:p>
    <w:p w:rsidR="000913ED" w:rsidRDefault="000913ED" w:rsidP="00BD2C69">
      <w:pPr>
        <w:autoSpaceDE w:val="0"/>
        <w:autoSpaceDN w:val="0"/>
        <w:adjustRightInd w:val="0"/>
        <w:spacing w:after="0"/>
        <w:jc w:val="both"/>
        <w:rPr>
          <w:rFonts w:ascii="Verdana" w:hAnsi="Verdana" w:cstheme="minorHAnsi"/>
          <w:b/>
          <w:bCs/>
          <w:color w:val="95B3D7" w:themeColor="accent1" w:themeTint="99"/>
          <w:sz w:val="20"/>
          <w:szCs w:val="20"/>
          <w:lang w:val="en-GB"/>
        </w:rPr>
      </w:pPr>
      <w:r w:rsidRPr="004E35DC">
        <w:rPr>
          <w:rFonts w:ascii="Verdana" w:hAnsi="Verdana" w:cstheme="minorHAnsi"/>
          <w:b/>
          <w:bCs/>
          <w:color w:val="95B3D7" w:themeColor="accent1" w:themeTint="99"/>
          <w:sz w:val="20"/>
          <w:szCs w:val="20"/>
          <w:lang w:val="en-GB"/>
        </w:rPr>
        <w:t>Accounting Policy</w:t>
      </w:r>
    </w:p>
    <w:p w:rsidR="00685689" w:rsidRPr="004E35DC" w:rsidRDefault="00685689" w:rsidP="00BD2C69">
      <w:pPr>
        <w:autoSpaceDE w:val="0"/>
        <w:autoSpaceDN w:val="0"/>
        <w:adjustRightInd w:val="0"/>
        <w:spacing w:after="0"/>
        <w:jc w:val="both"/>
        <w:rPr>
          <w:rFonts w:ascii="Verdana" w:hAnsi="Verdana" w:cstheme="minorHAnsi"/>
          <w:b/>
          <w:bCs/>
          <w:color w:val="95B3D7" w:themeColor="accent1" w:themeTint="99"/>
          <w:sz w:val="20"/>
          <w:szCs w:val="20"/>
          <w:lang w:val="en-GB"/>
        </w:rPr>
      </w:pPr>
    </w:p>
    <w:p w:rsidR="000913ED" w:rsidRPr="001F7883" w:rsidRDefault="000913ED" w:rsidP="00BD2C69">
      <w:pPr>
        <w:autoSpaceDE w:val="0"/>
        <w:autoSpaceDN w:val="0"/>
        <w:adjustRightInd w:val="0"/>
        <w:spacing w:after="0"/>
        <w:jc w:val="both"/>
        <w:rPr>
          <w:rFonts w:ascii="Verdana" w:hAnsi="Verdana" w:cstheme="minorHAnsi"/>
          <w:b/>
          <w:bCs/>
          <w:sz w:val="20"/>
          <w:szCs w:val="20"/>
          <w:lang w:val="en-GB"/>
        </w:rPr>
      </w:pPr>
      <w:r w:rsidRPr="001F7883">
        <w:rPr>
          <w:rFonts w:ascii="Verdana" w:hAnsi="Verdana" w:cstheme="minorHAnsi"/>
          <w:b/>
          <w:bCs/>
          <w:sz w:val="20"/>
          <w:szCs w:val="20"/>
          <w:lang w:val="en-GB"/>
        </w:rPr>
        <w:t>Consolidated financial statements</w:t>
      </w:r>
    </w:p>
    <w:p w:rsidR="00C95769" w:rsidRDefault="000913ED" w:rsidP="00BD2C69">
      <w:pPr>
        <w:autoSpaceDE w:val="0"/>
        <w:autoSpaceDN w:val="0"/>
        <w:adjustRightInd w:val="0"/>
        <w:spacing w:after="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The consolidated financial statements incl</w:t>
      </w:r>
      <w:r w:rsidR="00E412C7">
        <w:rPr>
          <w:rFonts w:ascii="Verdana" w:hAnsi="Verdana" w:cstheme="minorHAnsi"/>
          <w:color w:val="000000"/>
          <w:sz w:val="20"/>
          <w:szCs w:val="20"/>
          <w:lang w:val="en-GB"/>
        </w:rPr>
        <w:t>ude Nordic Shipholding (C</w:t>
      </w:r>
      <w:r w:rsidRPr="00223369">
        <w:rPr>
          <w:rFonts w:ascii="Verdana" w:hAnsi="Verdana" w:cstheme="minorHAnsi"/>
          <w:color w:val="000000"/>
          <w:sz w:val="20"/>
          <w:szCs w:val="20"/>
          <w:lang w:val="en-GB"/>
        </w:rPr>
        <w:t xml:space="preserve">ompany) and the enterprises (subsidiaries) which are controlled by the </w:t>
      </w:r>
      <w:r w:rsidR="00E412C7">
        <w:rPr>
          <w:rFonts w:ascii="Verdana" w:hAnsi="Verdana" w:cstheme="minorHAnsi"/>
          <w:color w:val="000000"/>
          <w:sz w:val="20"/>
          <w:szCs w:val="20"/>
          <w:lang w:val="en-GB"/>
        </w:rPr>
        <w:t>C</w:t>
      </w:r>
      <w:r w:rsidRPr="00223369">
        <w:rPr>
          <w:rFonts w:ascii="Verdana" w:hAnsi="Verdana" w:cstheme="minorHAnsi"/>
          <w:color w:val="000000"/>
          <w:sz w:val="20"/>
          <w:szCs w:val="20"/>
          <w:lang w:val="en-GB"/>
        </w:rPr>
        <w:t xml:space="preserve">ompany. Control is presumed to exist when the </w:t>
      </w:r>
      <w:r w:rsidR="00E412C7">
        <w:rPr>
          <w:rFonts w:ascii="Verdana" w:hAnsi="Verdana" w:cstheme="minorHAnsi"/>
          <w:color w:val="000000"/>
          <w:sz w:val="20"/>
          <w:szCs w:val="20"/>
          <w:lang w:val="en-GB"/>
        </w:rPr>
        <w:t>C</w:t>
      </w:r>
      <w:r w:rsidRPr="00223369">
        <w:rPr>
          <w:rFonts w:ascii="Verdana" w:hAnsi="Verdana" w:cstheme="minorHAnsi"/>
          <w:color w:val="000000"/>
          <w:sz w:val="20"/>
          <w:szCs w:val="20"/>
          <w:lang w:val="en-GB"/>
        </w:rPr>
        <w:t xml:space="preserve">ompany, directly or indirectly, owns more than 50% of the voting rights or in any other way can or does exercise a controlling influence. </w:t>
      </w:r>
    </w:p>
    <w:p w:rsidR="00685689" w:rsidRDefault="00685689" w:rsidP="00BD2C69">
      <w:pPr>
        <w:autoSpaceDE w:val="0"/>
        <w:autoSpaceDN w:val="0"/>
        <w:adjustRightInd w:val="0"/>
        <w:spacing w:after="0"/>
        <w:jc w:val="both"/>
        <w:rPr>
          <w:rFonts w:ascii="Verdana" w:hAnsi="Verdana" w:cstheme="minorHAnsi"/>
          <w:color w:val="000000"/>
          <w:sz w:val="20"/>
          <w:szCs w:val="20"/>
          <w:lang w:val="en-GB"/>
        </w:rPr>
      </w:pPr>
    </w:p>
    <w:p w:rsidR="000913ED" w:rsidRDefault="000913ED" w:rsidP="00BD2C69">
      <w:pPr>
        <w:autoSpaceDE w:val="0"/>
        <w:autoSpaceDN w:val="0"/>
        <w:adjustRightInd w:val="0"/>
        <w:spacing w:after="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Entities which are by agreement managed jointly with one or more other enterprises are considered to be jointly controlled entities which are accounted for by proportionate consolidation. </w:t>
      </w:r>
    </w:p>
    <w:p w:rsidR="000913ED" w:rsidRPr="001F7883" w:rsidRDefault="000C30BB" w:rsidP="001F7883">
      <w:pPr>
        <w:autoSpaceDE w:val="0"/>
        <w:autoSpaceDN w:val="0"/>
        <w:adjustRightInd w:val="0"/>
        <w:spacing w:before="360" w:after="0"/>
        <w:jc w:val="both"/>
        <w:rPr>
          <w:rFonts w:ascii="Verdana" w:hAnsi="Verdana" w:cstheme="minorHAnsi"/>
          <w:b/>
          <w:bCs/>
          <w:sz w:val="20"/>
          <w:szCs w:val="20"/>
          <w:lang w:val="en-GB"/>
        </w:rPr>
      </w:pPr>
      <w:r>
        <w:rPr>
          <w:rFonts w:ascii="Verdana" w:hAnsi="Verdana" w:cstheme="minorHAnsi"/>
          <w:b/>
          <w:bCs/>
          <w:sz w:val="20"/>
          <w:szCs w:val="20"/>
          <w:lang w:val="en-GB"/>
        </w:rPr>
        <w:t>B</w:t>
      </w:r>
      <w:r w:rsidR="000913ED" w:rsidRPr="001F7883">
        <w:rPr>
          <w:rFonts w:ascii="Verdana" w:hAnsi="Verdana" w:cstheme="minorHAnsi"/>
          <w:b/>
          <w:bCs/>
          <w:sz w:val="20"/>
          <w:szCs w:val="20"/>
          <w:lang w:val="en-GB"/>
        </w:rPr>
        <w:t>asis of consolidation</w:t>
      </w: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 consolidated financial statements have been prepared on the basis of the accounts of Nordic Shipholding and its subsidiaries and jointly controlled entities. The consolidated financial statements have been prepared by adding together items of a uniform nature. </w:t>
      </w:r>
    </w:p>
    <w:p w:rsidR="000C30BB" w:rsidRDefault="000C30BB" w:rsidP="00EB243B">
      <w:pPr>
        <w:autoSpaceDE w:val="0"/>
        <w:autoSpaceDN w:val="0"/>
        <w:adjustRightInd w:val="0"/>
        <w:jc w:val="both"/>
        <w:rPr>
          <w:rFonts w:ascii="Verdana" w:hAnsi="Verdana" w:cstheme="minorHAnsi"/>
          <w:color w:val="000000"/>
          <w:sz w:val="20"/>
          <w:szCs w:val="20"/>
          <w:lang w:val="en-GB"/>
        </w:rPr>
      </w:pP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lastRenderedPageBreak/>
        <w:t xml:space="preserve">The accounts used for consolidation purposes have been prepared in accordance with the Group’s accounting policies. Intercompany income and expenses, intercompany balances and dividends as well as profit and loss from intercompany transactions have been eliminated on consolidation. Subsidiaries’ items are recognised in full in the consolidated financial statements. </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Investments in jointly controlled entities are recognised and measured in the consolidated financial statements pro rata with the Group’s ownership interest and presented on a line-by-line basis in the consolidated financial statements. The proportionate share of the results of the entities after tax and elimination of unrealised proportionate intercompany profits and losses is recognised in the income statement. The proportionate share of all transactions and events recognised directly in the equity of the jointly controlled entity is recognised in Group equity.</w:t>
      </w:r>
    </w:p>
    <w:p w:rsidR="000913ED" w:rsidRPr="001F7883" w:rsidRDefault="000913ED" w:rsidP="001F7883">
      <w:pPr>
        <w:autoSpaceDE w:val="0"/>
        <w:autoSpaceDN w:val="0"/>
        <w:adjustRightInd w:val="0"/>
        <w:spacing w:before="360" w:after="0"/>
        <w:jc w:val="both"/>
        <w:rPr>
          <w:rFonts w:ascii="Verdana" w:hAnsi="Verdana" w:cstheme="minorHAnsi"/>
          <w:b/>
          <w:bCs/>
          <w:sz w:val="20"/>
          <w:szCs w:val="20"/>
          <w:lang w:val="en-GB"/>
        </w:rPr>
      </w:pPr>
      <w:r w:rsidRPr="00983D4D">
        <w:rPr>
          <w:rFonts w:ascii="Verdana" w:hAnsi="Verdana" w:cstheme="minorHAnsi"/>
          <w:b/>
          <w:bCs/>
          <w:sz w:val="20"/>
          <w:szCs w:val="20"/>
          <w:lang w:val="en-GB"/>
        </w:rPr>
        <w:t>Business combinations</w:t>
      </w:r>
      <w:r w:rsidR="00D01DB2">
        <w:rPr>
          <w:rFonts w:ascii="Verdana" w:hAnsi="Verdana" w:cstheme="minorHAnsi"/>
          <w:b/>
          <w:bCs/>
          <w:sz w:val="20"/>
          <w:szCs w:val="20"/>
          <w:lang w:val="en-GB"/>
        </w:rPr>
        <w:t xml:space="preserve"> </w:t>
      </w: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 cost of an acquisition is measured as the aggregate of the consideration transferred by the Group to obtain control of a subsidiary. The consideration transferred is calculated as the sum of the acquisition-date fair values of assets transferred, liabilities incurred and the equity interests issued by the Company, which includes the fair value of any asset or liability arising from a contingent consideration arrangement. Acquisition costs incurred are expensed. </w:t>
      </w: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 date of acquisition is the date on which control of the enterprise is effectively transferred. Enterprises that have been sold or wound up are recognised in the consolidated financial statements until the date of the sale or the winding up. The date of sale is the date on which control of the enterprise is effectively transferred to a third party. </w:t>
      </w: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On the acquisition of new enterprises, the purchase method is applied according to which the identifiable assets, liabilities and contingent liabilities of the newly acquired enterprises are measured at their fair values at the date of acquisition. Account is taken of the tax effect of the revaluations made. </w:t>
      </w: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 excess (goodwill) of the cost of the business combination over the fair value of the acquired assets, liabilities and contingent liabilities is recognised as an asset under intangibles and is tested for impairment at least once every year. If the carrying amount of the asset exceeds its recoverable amount, it is written down to the lower recoverable amount. If negative goodwill arises, the calculated fair values and the calculated cost of the enterprise are reassessed. If, after reassessment, the fair value of the acquired assets, liabilities and contingent liabilities continues to exceed the cost, the balance is credited to the income statement. </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Subsequent change to the fair value of the contingent consideration is in accordance with IAS 39 recognised in comprehensive income. </w:t>
      </w:r>
    </w:p>
    <w:p w:rsidR="000913ED" w:rsidRPr="001F7883" w:rsidRDefault="000913ED" w:rsidP="001F7883">
      <w:pPr>
        <w:autoSpaceDE w:val="0"/>
        <w:autoSpaceDN w:val="0"/>
        <w:adjustRightInd w:val="0"/>
        <w:spacing w:before="360" w:after="0"/>
        <w:jc w:val="both"/>
        <w:rPr>
          <w:rFonts w:ascii="Verdana" w:hAnsi="Verdana" w:cstheme="minorHAnsi"/>
          <w:b/>
          <w:bCs/>
          <w:sz w:val="20"/>
          <w:szCs w:val="20"/>
          <w:lang w:val="en-GB"/>
        </w:rPr>
      </w:pPr>
      <w:r w:rsidRPr="001F7883">
        <w:rPr>
          <w:rFonts w:ascii="Verdana" w:hAnsi="Verdana" w:cstheme="minorHAnsi"/>
          <w:b/>
          <w:bCs/>
          <w:sz w:val="20"/>
          <w:szCs w:val="20"/>
          <w:lang w:val="en-GB"/>
        </w:rPr>
        <w:t>Profit or loss from the sale of subsidiaries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Profits or losses from the sale, winding up or loss of control in subsidiaries are stated as the difference between the sum received from the sale, winding up or the fair value at the time of loss of control and the carrying amount of the net assets at the time of selling, winding up or loss of control, including goodwill, accumulated foreign currency translation adjustments recognised directly in equity and expected costs of sale or winding up. The selling price is measured at fair value of the consideration received.</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Foreign currency translation</w:t>
      </w: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The functional and prese</w:t>
      </w:r>
      <w:r w:rsidR="00E412C7">
        <w:rPr>
          <w:rFonts w:ascii="Verdana" w:hAnsi="Verdana" w:cstheme="minorHAnsi"/>
          <w:color w:val="000000"/>
          <w:sz w:val="20"/>
          <w:szCs w:val="20"/>
          <w:lang w:val="en-GB"/>
        </w:rPr>
        <w:t>ntation currency of the C</w:t>
      </w:r>
      <w:r w:rsidRPr="00223369">
        <w:rPr>
          <w:rFonts w:ascii="Verdana" w:hAnsi="Verdana" w:cstheme="minorHAnsi"/>
          <w:color w:val="000000"/>
          <w:sz w:val="20"/>
          <w:szCs w:val="20"/>
          <w:lang w:val="en-GB"/>
        </w:rPr>
        <w:t xml:space="preserve">ompany is USD. </w:t>
      </w:r>
    </w:p>
    <w:p w:rsidR="00C957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On initial recognition, transactions in currencies other than the functional currency of each enterprise are translated using the exchange rate at the date of the transaction. </w:t>
      </w:r>
    </w:p>
    <w:p w:rsidR="00C957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color w:val="000000"/>
          <w:sz w:val="20"/>
          <w:szCs w:val="20"/>
          <w:lang w:val="en-GB"/>
        </w:rPr>
        <w:lastRenderedPageBreak/>
        <w:t xml:space="preserve">Receivables, payables and other monetary items in foreign currencies, which </w:t>
      </w:r>
      <w:r w:rsidRPr="00223369">
        <w:rPr>
          <w:rFonts w:ascii="Verdana" w:hAnsi="Verdana" w:cstheme="minorHAnsi"/>
          <w:sz w:val="20"/>
          <w:szCs w:val="20"/>
          <w:lang w:val="en-GB"/>
        </w:rPr>
        <w:t xml:space="preserve">have not been settled at the balance sheet date, are translated using the rate of exchange at the balance sheet date. Any exchange differences arising between the rate of exchange at the date of the transaction and the rate of exchange at the date of payment and the balance sheet date, respectively, are recognised in the income statement as financial income and expenses. </w:t>
      </w:r>
    </w:p>
    <w:p w:rsidR="00C957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Property, plant and equipment, inventories and other non-monetary assets purchased in foreign currencies and measured using historical costs are translated using the rate of exchange at the date of the transaction. Non-monetary items that are revalued at fair value are translated using the rate of exchange at the date of the revaluation. </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Upon recognition in the consolidated financial statements of enterprises with functional currencies other than USD, the income statements are translated at the average exchange rates for the respective months. Balance sheet items are translated using the exchange rates ruling at the balance sheet date. Exchange differences arising from translation of balance sheet items at the beginning of the year at the rates of exchange at the balance sheet date and from translation of income statements from average rates of exchange to the rates of exchange at the balance sheet date are recognised as other comprehensive income. Correspondingly, exchange differences arising from changes made directly in the equity of these enterprises are also recognised as other comprehensive income.</w:t>
      </w:r>
    </w:p>
    <w:p w:rsidR="000913ED" w:rsidRPr="00223369" w:rsidRDefault="000913ED" w:rsidP="001F7883">
      <w:pPr>
        <w:autoSpaceDE w:val="0"/>
        <w:autoSpaceDN w:val="0"/>
        <w:adjustRightInd w:val="0"/>
        <w:spacing w:before="360" w:after="0"/>
        <w:jc w:val="both"/>
        <w:rPr>
          <w:rFonts w:ascii="Verdana" w:hAnsi="Verdana" w:cstheme="minorHAnsi"/>
          <w:b/>
          <w:bCs/>
          <w:sz w:val="20"/>
          <w:szCs w:val="20"/>
          <w:lang w:val="en-GB"/>
        </w:rPr>
      </w:pPr>
      <w:r w:rsidRPr="001F7883">
        <w:rPr>
          <w:rFonts w:ascii="Verdana" w:hAnsi="Verdana" w:cstheme="minorHAnsi"/>
          <w:b/>
          <w:bCs/>
          <w:color w:val="000000"/>
          <w:sz w:val="20"/>
          <w:szCs w:val="20"/>
          <w:lang w:val="en-GB"/>
        </w:rPr>
        <w:t>Derivative</w:t>
      </w:r>
      <w:r w:rsidRPr="00223369">
        <w:rPr>
          <w:rFonts w:ascii="Verdana" w:hAnsi="Verdana" w:cstheme="minorHAnsi"/>
          <w:b/>
          <w:bCs/>
          <w:sz w:val="20"/>
          <w:szCs w:val="20"/>
          <w:lang w:val="en-GB"/>
        </w:rPr>
        <w:t xml:space="preserve"> financial instruments</w:t>
      </w:r>
    </w:p>
    <w:p w:rsidR="00C957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Derivative financial instruments, primarily interest rate swaps, are used for hedging purposes. Derivative financial instruments are initially measured at fair value on the contract date. Derivative financial instruments are subsequently measured at fair value at the balance sheet date. </w:t>
      </w:r>
    </w:p>
    <w:p w:rsidR="00C957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Changes in the fair value of derivative financial instruments designated as and qualifying for recognition as effective hedges of future transactions are recognised in other comprehensive income. When the hedged transactions are realised, accumulated changes are recognised as part of the cost of the transactions. </w:t>
      </w:r>
    </w:p>
    <w:p w:rsidR="000913ED"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Derivative financial instruments that do not qualify for hedge accounting are classified as held for trading and measured at fair value, and changes in fair value are recognised in comprehensive income as financial income or expenses as they occur.</w:t>
      </w:r>
    </w:p>
    <w:p w:rsidR="00382FB8" w:rsidRPr="00223369" w:rsidRDefault="00382FB8" w:rsidP="00EB243B">
      <w:pPr>
        <w:autoSpaceDE w:val="0"/>
        <w:autoSpaceDN w:val="0"/>
        <w:adjustRightInd w:val="0"/>
        <w:jc w:val="both"/>
        <w:rPr>
          <w:rFonts w:ascii="Verdana" w:hAnsi="Verdana" w:cstheme="minorHAnsi"/>
          <w:sz w:val="20"/>
          <w:szCs w:val="20"/>
          <w:lang w:val="en-GB"/>
        </w:rPr>
      </w:pPr>
      <w:r>
        <w:rPr>
          <w:rFonts w:ascii="Verdana" w:hAnsi="Verdana" w:cstheme="minorHAnsi"/>
          <w:sz w:val="20"/>
          <w:szCs w:val="20"/>
          <w:lang w:val="en-GB"/>
        </w:rPr>
        <w:t xml:space="preserve">If the derivative financial instruments do not longer qualify for hedge or future transactions the hedge reserve recycled over the remaining period of the derivative contract or the time hedged transactions are realised. </w:t>
      </w:r>
    </w:p>
    <w:p w:rsidR="000913ED" w:rsidRPr="00223369" w:rsidRDefault="000913ED" w:rsidP="001F7883">
      <w:pPr>
        <w:autoSpaceDE w:val="0"/>
        <w:autoSpaceDN w:val="0"/>
        <w:adjustRightInd w:val="0"/>
        <w:spacing w:before="360" w:after="0"/>
        <w:jc w:val="both"/>
        <w:rPr>
          <w:rFonts w:ascii="Verdana" w:hAnsi="Verdana" w:cstheme="minorHAnsi"/>
          <w:b/>
          <w:bCs/>
          <w:sz w:val="20"/>
          <w:szCs w:val="20"/>
          <w:lang w:val="en-GB"/>
        </w:rPr>
      </w:pPr>
      <w:r w:rsidRPr="00223369">
        <w:rPr>
          <w:rFonts w:ascii="Verdana" w:hAnsi="Verdana" w:cstheme="minorHAnsi"/>
          <w:b/>
          <w:bCs/>
          <w:sz w:val="20"/>
          <w:szCs w:val="20"/>
          <w:lang w:val="en-GB"/>
        </w:rPr>
        <w:t xml:space="preserve">Segment </w:t>
      </w:r>
      <w:r w:rsidRPr="001F7883">
        <w:rPr>
          <w:rFonts w:ascii="Verdana" w:hAnsi="Verdana" w:cstheme="minorHAnsi"/>
          <w:b/>
          <w:bCs/>
          <w:color w:val="000000"/>
          <w:sz w:val="20"/>
          <w:szCs w:val="20"/>
          <w:lang w:val="en-GB"/>
        </w:rPr>
        <w:t>information</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Nordic Shipholding has only one segment: Product Tankers. The Company therefore does not disclose segment information.</w:t>
      </w:r>
    </w:p>
    <w:p w:rsidR="000913ED" w:rsidRPr="00223369" w:rsidRDefault="000913ED" w:rsidP="001F7883">
      <w:pPr>
        <w:autoSpaceDE w:val="0"/>
        <w:autoSpaceDN w:val="0"/>
        <w:adjustRightInd w:val="0"/>
        <w:spacing w:before="360" w:after="0"/>
        <w:jc w:val="both"/>
        <w:rPr>
          <w:rFonts w:ascii="Verdana" w:hAnsi="Verdana" w:cstheme="minorHAnsi"/>
          <w:b/>
          <w:bCs/>
          <w:sz w:val="20"/>
          <w:szCs w:val="20"/>
          <w:lang w:val="en-GB"/>
        </w:rPr>
      </w:pPr>
      <w:r w:rsidRPr="00223369">
        <w:rPr>
          <w:rFonts w:ascii="Verdana" w:hAnsi="Verdana" w:cstheme="minorHAnsi"/>
          <w:b/>
          <w:bCs/>
          <w:sz w:val="20"/>
          <w:szCs w:val="20"/>
          <w:lang w:val="en-GB"/>
        </w:rPr>
        <w:t>Discontinued operations and noncurrent assets held for sale</w:t>
      </w:r>
    </w:p>
    <w:p w:rsidR="00C957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Discontinued operations are significant business areas that have been sold or are classified as held for sale pursuant to a plan. Subsidiaries held exclusively for resale are considered to be discontinued operations. </w:t>
      </w:r>
    </w:p>
    <w:p w:rsidR="00C957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 xml:space="preserve">The results of discontinued operations are presented in the income statement as a separate item consisting of the operating profit or loss after tax from the operation and any profits or losses resulting from fair value adjustments or the sale of the operations and associated liabilities. </w:t>
      </w:r>
    </w:p>
    <w:p w:rsidR="00C957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lastRenderedPageBreak/>
        <w:t>The asset or disposal Group is classified as ‘held for sale’ and presented separately in the statement of financial position. Liabilities are cl</w:t>
      </w:r>
      <w:r>
        <w:rPr>
          <w:rFonts w:ascii="Verdana" w:hAnsi="Verdana" w:cstheme="minorHAnsi"/>
          <w:sz w:val="20"/>
          <w:szCs w:val="20"/>
          <w:lang w:val="en-GB"/>
        </w:rPr>
        <w:t xml:space="preserve">assified as ‘held for sale’ and </w:t>
      </w:r>
      <w:r w:rsidRPr="00223369">
        <w:rPr>
          <w:rFonts w:ascii="Verdana" w:hAnsi="Verdana" w:cstheme="minorHAnsi"/>
          <w:sz w:val="20"/>
          <w:szCs w:val="20"/>
          <w:lang w:val="en-GB"/>
        </w:rPr>
        <w:t xml:space="preserve">presented as such in the statement of financial position if they are directly associated with a disposal Group. </w:t>
      </w:r>
    </w:p>
    <w:p w:rsidR="000913ED" w:rsidRPr="00223369" w:rsidRDefault="000913ED" w:rsidP="00EB243B">
      <w:pPr>
        <w:autoSpaceDE w:val="0"/>
        <w:autoSpaceDN w:val="0"/>
        <w:adjustRightInd w:val="0"/>
        <w:jc w:val="both"/>
        <w:rPr>
          <w:rFonts w:ascii="Verdana" w:hAnsi="Verdana" w:cstheme="minorHAnsi"/>
          <w:sz w:val="20"/>
          <w:szCs w:val="20"/>
          <w:lang w:val="en-GB"/>
        </w:rPr>
      </w:pPr>
      <w:r w:rsidRPr="00223369">
        <w:rPr>
          <w:rFonts w:ascii="Verdana" w:hAnsi="Verdana" w:cstheme="minorHAnsi"/>
          <w:sz w:val="20"/>
          <w:szCs w:val="20"/>
          <w:lang w:val="en-GB"/>
        </w:rPr>
        <w:t>Assets and liabilities from discontinued operations and assets held for sale except financial assets are measured at the lower of carrying amount and fair value less costs to sell. Assets held for sale are not depreciated.</w:t>
      </w:r>
    </w:p>
    <w:p w:rsidR="000913ED" w:rsidRPr="00223369" w:rsidRDefault="000913ED" w:rsidP="001F7883">
      <w:pPr>
        <w:autoSpaceDE w:val="0"/>
        <w:autoSpaceDN w:val="0"/>
        <w:adjustRightInd w:val="0"/>
        <w:spacing w:before="360" w:after="0"/>
        <w:jc w:val="both"/>
        <w:rPr>
          <w:rFonts w:ascii="Verdana" w:hAnsi="Verdana" w:cstheme="minorHAnsi"/>
          <w:b/>
          <w:bCs/>
          <w:sz w:val="20"/>
          <w:szCs w:val="20"/>
          <w:lang w:val="en-GB"/>
        </w:rPr>
      </w:pPr>
      <w:r w:rsidRPr="00223369">
        <w:rPr>
          <w:rFonts w:ascii="Verdana" w:hAnsi="Verdana" w:cstheme="minorHAnsi"/>
          <w:b/>
          <w:bCs/>
          <w:sz w:val="20"/>
          <w:szCs w:val="20"/>
          <w:lang w:val="en-GB"/>
        </w:rPr>
        <w:t>Share-based payment</w:t>
      </w:r>
    </w:p>
    <w:p w:rsidR="000913ED" w:rsidRDefault="000913ED" w:rsidP="000C30BB">
      <w:pPr>
        <w:autoSpaceDE w:val="0"/>
        <w:autoSpaceDN w:val="0"/>
        <w:adjustRightInd w:val="0"/>
        <w:spacing w:after="0"/>
        <w:jc w:val="both"/>
        <w:rPr>
          <w:rFonts w:ascii="Verdana" w:hAnsi="Verdana" w:cstheme="minorHAnsi"/>
          <w:color w:val="000000"/>
          <w:sz w:val="20"/>
          <w:szCs w:val="20"/>
          <w:lang w:val="en-GB"/>
        </w:rPr>
      </w:pPr>
      <w:r w:rsidRPr="00223369">
        <w:rPr>
          <w:rFonts w:ascii="Verdana" w:hAnsi="Verdana" w:cstheme="minorHAnsi"/>
          <w:sz w:val="20"/>
          <w:szCs w:val="20"/>
          <w:lang w:val="en-GB"/>
        </w:rPr>
        <w:t xml:space="preserve">Nordic </w:t>
      </w:r>
      <w:r w:rsidR="00C95769">
        <w:rPr>
          <w:rFonts w:ascii="Verdana" w:hAnsi="Verdana" w:cstheme="minorHAnsi"/>
          <w:sz w:val="20"/>
          <w:szCs w:val="20"/>
          <w:lang w:val="en-GB"/>
        </w:rPr>
        <w:t>Shipholding</w:t>
      </w:r>
      <w:r w:rsidRPr="00223369">
        <w:rPr>
          <w:rFonts w:ascii="Verdana" w:hAnsi="Verdana" w:cstheme="minorHAnsi"/>
          <w:sz w:val="20"/>
          <w:szCs w:val="20"/>
          <w:lang w:val="en-GB"/>
        </w:rPr>
        <w:t xml:space="preserve"> has a warrant scheme for the Company’s Executive Board and employees. The scheme is equity-settled and recognised according to IFRS 2, Share</w:t>
      </w:r>
      <w:r>
        <w:rPr>
          <w:rFonts w:ascii="Verdana" w:hAnsi="Verdana" w:cstheme="minorHAnsi"/>
          <w:sz w:val="20"/>
          <w:szCs w:val="20"/>
          <w:lang w:val="en-GB"/>
        </w:rPr>
        <w:t>-</w:t>
      </w:r>
      <w:r w:rsidRPr="00223369">
        <w:rPr>
          <w:rFonts w:ascii="Verdana" w:hAnsi="Verdana" w:cstheme="minorHAnsi"/>
          <w:sz w:val="20"/>
          <w:szCs w:val="20"/>
          <w:lang w:val="en-GB"/>
        </w:rPr>
        <w:t xml:space="preserve">based Payment, which requires companies to measure the equity instruments at fair value at the grant date and to recognise them as an expense under staff costs allocated over the vesting period. The related set-off entry is recognised in equity. The fair value at the grant date </w:t>
      </w:r>
      <w:r w:rsidRPr="00223369">
        <w:rPr>
          <w:rFonts w:ascii="Verdana" w:hAnsi="Verdana" w:cstheme="minorHAnsi"/>
          <w:color w:val="000000"/>
          <w:sz w:val="20"/>
          <w:szCs w:val="20"/>
          <w:lang w:val="en-GB"/>
        </w:rPr>
        <w:t>is calculated using the Black-Scholes model.</w:t>
      </w:r>
    </w:p>
    <w:p w:rsidR="000C30BB" w:rsidRPr="00223369" w:rsidRDefault="000C30BB" w:rsidP="000C30BB">
      <w:pPr>
        <w:autoSpaceDE w:val="0"/>
        <w:autoSpaceDN w:val="0"/>
        <w:adjustRightInd w:val="0"/>
        <w:spacing w:after="0"/>
        <w:jc w:val="both"/>
        <w:rPr>
          <w:rFonts w:ascii="Verdana" w:hAnsi="Verdana" w:cstheme="minorHAnsi"/>
          <w:color w:val="000000"/>
          <w:sz w:val="20"/>
          <w:szCs w:val="20"/>
          <w:lang w:val="en-GB"/>
        </w:rPr>
      </w:pPr>
    </w:p>
    <w:p w:rsidR="000913ED" w:rsidRDefault="000913ED" w:rsidP="000C30BB">
      <w:pPr>
        <w:autoSpaceDE w:val="0"/>
        <w:autoSpaceDN w:val="0"/>
        <w:adjustRightInd w:val="0"/>
        <w:spacing w:after="0"/>
        <w:jc w:val="both"/>
        <w:rPr>
          <w:rFonts w:ascii="Verdana" w:hAnsi="Verdana" w:cstheme="minorHAnsi"/>
          <w:b/>
          <w:bCs/>
          <w:color w:val="95B3D7" w:themeColor="accent1" w:themeTint="99"/>
          <w:sz w:val="20"/>
          <w:szCs w:val="20"/>
          <w:lang w:val="en-GB"/>
        </w:rPr>
      </w:pPr>
      <w:r w:rsidRPr="004E35DC">
        <w:rPr>
          <w:rFonts w:ascii="Verdana" w:hAnsi="Verdana" w:cstheme="minorHAnsi"/>
          <w:b/>
          <w:bCs/>
          <w:color w:val="95B3D7" w:themeColor="accent1" w:themeTint="99"/>
          <w:sz w:val="20"/>
          <w:szCs w:val="20"/>
          <w:lang w:val="en-GB"/>
        </w:rPr>
        <w:t>Statement of comprehensive income</w:t>
      </w:r>
    </w:p>
    <w:p w:rsidR="000C30BB" w:rsidRPr="004E35DC" w:rsidRDefault="000C30BB" w:rsidP="000C30BB">
      <w:pPr>
        <w:autoSpaceDE w:val="0"/>
        <w:autoSpaceDN w:val="0"/>
        <w:adjustRightInd w:val="0"/>
        <w:spacing w:after="0"/>
        <w:jc w:val="both"/>
        <w:rPr>
          <w:rFonts w:ascii="Verdana" w:hAnsi="Verdana" w:cstheme="minorHAnsi"/>
          <w:b/>
          <w:bCs/>
          <w:color w:val="95B3D7" w:themeColor="accent1" w:themeTint="99"/>
          <w:sz w:val="20"/>
          <w:szCs w:val="20"/>
          <w:lang w:val="en-GB"/>
        </w:rPr>
      </w:pPr>
    </w:p>
    <w:p w:rsidR="000913ED" w:rsidRPr="00223369" w:rsidRDefault="000913ED" w:rsidP="000C30BB">
      <w:pPr>
        <w:autoSpaceDE w:val="0"/>
        <w:autoSpaceDN w:val="0"/>
        <w:adjustRightInd w:val="0"/>
        <w:spacing w:after="0"/>
        <w:jc w:val="both"/>
        <w:rPr>
          <w:rFonts w:ascii="Verdana" w:hAnsi="Verdana" w:cstheme="minorHAnsi"/>
          <w:b/>
          <w:bCs/>
          <w:color w:val="000000"/>
          <w:sz w:val="20"/>
          <w:szCs w:val="20"/>
          <w:lang w:val="en-GB"/>
        </w:rPr>
      </w:pPr>
      <w:r w:rsidRPr="001F7883">
        <w:rPr>
          <w:rFonts w:ascii="Verdana" w:hAnsi="Verdana" w:cstheme="minorHAnsi"/>
          <w:b/>
          <w:bCs/>
          <w:sz w:val="20"/>
          <w:szCs w:val="20"/>
          <w:lang w:val="en-GB"/>
        </w:rPr>
        <w:t>Revenue</w:t>
      </w:r>
      <w:r w:rsidRPr="00223369">
        <w:rPr>
          <w:rFonts w:ascii="Verdana" w:hAnsi="Verdana" w:cstheme="minorHAnsi"/>
          <w:b/>
          <w:bCs/>
          <w:color w:val="000000"/>
          <w:sz w:val="20"/>
          <w:szCs w:val="20"/>
          <w:lang w:val="en-GB"/>
        </w:rPr>
        <w:t xml:space="preserve"> </w:t>
      </w:r>
    </w:p>
    <w:p w:rsidR="000913ED" w:rsidRDefault="000913ED" w:rsidP="00D66BD5">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Income, including revenue, is recognised in the income statement when:</w:t>
      </w:r>
    </w:p>
    <w:p w:rsidR="000913ED" w:rsidRPr="00EB243B" w:rsidRDefault="000913ED" w:rsidP="00D66BD5">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sidRPr="00EB243B">
        <w:rPr>
          <w:rFonts w:ascii="Verdana" w:hAnsi="Verdana" w:cstheme="minorHAnsi"/>
          <w:sz w:val="20"/>
          <w:szCs w:val="20"/>
        </w:rPr>
        <w:t>the income creating activities have been carried out on the basis of a binding agreement</w:t>
      </w:r>
    </w:p>
    <w:p w:rsidR="000913ED" w:rsidRPr="00EB243B" w:rsidRDefault="000913ED" w:rsidP="00D66BD5">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sidRPr="00EB243B">
        <w:rPr>
          <w:rFonts w:ascii="Verdana" w:hAnsi="Verdana" w:cstheme="minorHAnsi"/>
          <w:sz w:val="20"/>
          <w:szCs w:val="20"/>
        </w:rPr>
        <w:t>the income can be measured reliably</w:t>
      </w:r>
    </w:p>
    <w:p w:rsidR="000913ED" w:rsidRPr="00EB243B" w:rsidRDefault="000913ED" w:rsidP="00D66BD5">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sidRPr="00EB243B">
        <w:rPr>
          <w:rFonts w:ascii="Verdana" w:hAnsi="Verdana" w:cstheme="minorHAnsi"/>
          <w:sz w:val="20"/>
          <w:szCs w:val="20"/>
        </w:rPr>
        <w:t>it is probable that the economic benefits associated with the transaction will flow to the Group, and</w:t>
      </w:r>
    </w:p>
    <w:p w:rsidR="000913ED" w:rsidRDefault="000913ED" w:rsidP="00D66BD5">
      <w:pPr>
        <w:pStyle w:val="ListParagraph"/>
        <w:numPr>
          <w:ilvl w:val="0"/>
          <w:numId w:val="16"/>
        </w:numPr>
        <w:autoSpaceDE w:val="0"/>
        <w:autoSpaceDN w:val="0"/>
        <w:adjustRightInd w:val="0"/>
        <w:spacing w:after="200" w:line="276" w:lineRule="auto"/>
        <w:jc w:val="both"/>
        <w:rPr>
          <w:rFonts w:ascii="Verdana" w:hAnsi="Verdana" w:cstheme="minorHAnsi"/>
          <w:sz w:val="20"/>
          <w:szCs w:val="20"/>
        </w:rPr>
      </w:pPr>
      <w:r w:rsidRPr="00EB243B">
        <w:rPr>
          <w:rFonts w:ascii="Verdana" w:hAnsi="Verdana" w:cstheme="minorHAnsi"/>
          <w:sz w:val="20"/>
          <w:szCs w:val="20"/>
        </w:rPr>
        <w:t>costs relating to the transaction can be measured reliably</w:t>
      </w:r>
    </w:p>
    <w:p w:rsidR="002077DB" w:rsidRPr="002077DB" w:rsidRDefault="000913ED" w:rsidP="00D66BD5">
      <w:pPr>
        <w:autoSpaceDE w:val="0"/>
        <w:autoSpaceDN w:val="0"/>
        <w:adjustRightInd w:val="0"/>
        <w:jc w:val="both"/>
        <w:rPr>
          <w:rFonts w:ascii="DIN-Regular" w:eastAsia="DIN-Regular" w:cs="DIN-Regular"/>
          <w:sz w:val="18"/>
          <w:szCs w:val="18"/>
        </w:rPr>
      </w:pPr>
      <w:r w:rsidRPr="00223369">
        <w:rPr>
          <w:rFonts w:ascii="Verdana" w:hAnsi="Verdana" w:cstheme="minorHAnsi"/>
          <w:color w:val="000000"/>
          <w:sz w:val="20"/>
          <w:szCs w:val="20"/>
          <w:lang w:val="en-GB"/>
        </w:rPr>
        <w:t>Nordic Shipholding generates its revenue through pool arrangements. Total pool revenue is generated from each vessel participating in the pool. The pool measures revenue based on the contractual rates and the duration of each voyage, and revenue is recognised in the income statement upon delivery of service in accordance with terms and conditions of the charter parties</w:t>
      </w:r>
      <w:r w:rsidR="002F4FA9">
        <w:rPr>
          <w:rFonts w:ascii="Verdana" w:hAnsi="Verdana" w:cstheme="minorHAnsi"/>
          <w:color w:val="000000"/>
          <w:sz w:val="20"/>
          <w:szCs w:val="20"/>
          <w:lang w:val="en-GB"/>
        </w:rPr>
        <w:t xml:space="preserve">. </w:t>
      </w:r>
      <w:r w:rsidRPr="00223369">
        <w:rPr>
          <w:rFonts w:ascii="Verdana" w:hAnsi="Verdana" w:cstheme="minorHAnsi"/>
          <w:color w:val="000000"/>
          <w:sz w:val="20"/>
          <w:szCs w:val="20"/>
          <w:lang w:val="en-GB"/>
        </w:rPr>
        <w:t>T</w:t>
      </w:r>
      <w:r w:rsidR="00983D4D">
        <w:rPr>
          <w:rFonts w:ascii="Verdana" w:hAnsi="Verdana" w:cstheme="minorHAnsi"/>
          <w:color w:val="000000"/>
          <w:sz w:val="20"/>
          <w:szCs w:val="20"/>
          <w:lang w:val="en-GB"/>
        </w:rPr>
        <w:t>he pools are regarded as joint</w:t>
      </w:r>
      <w:r w:rsidRPr="00223369">
        <w:rPr>
          <w:rFonts w:ascii="Verdana" w:hAnsi="Verdana" w:cstheme="minorHAnsi"/>
          <w:color w:val="000000"/>
          <w:sz w:val="20"/>
          <w:szCs w:val="20"/>
          <w:lang w:val="en-GB"/>
        </w:rPr>
        <w:t xml:space="preserve"> operations, and the Group’s </w:t>
      </w:r>
      <w:r w:rsidRPr="00D66BD5">
        <w:rPr>
          <w:rFonts w:ascii="Verdana" w:hAnsi="Verdana" w:cstheme="minorHAnsi"/>
          <w:color w:val="000000"/>
          <w:sz w:val="20"/>
          <w:szCs w:val="20"/>
          <w:lang w:val="en-GB"/>
        </w:rPr>
        <w:t xml:space="preserve">share of items in the income statement and balance sheet in the respective pools is accounted for by recognising a proportional share, based on participation in the pool, combining items of a uniform nature. The Group’s share of pool revenue is primarily dependent on the </w:t>
      </w:r>
      <w:r w:rsidR="002077DB" w:rsidRPr="00D66BD5">
        <w:rPr>
          <w:rFonts w:ascii="Verdana" w:hAnsi="Verdana" w:cstheme="minorHAnsi"/>
          <w:color w:val="000000"/>
          <w:sz w:val="20"/>
          <w:szCs w:val="20"/>
          <w:lang w:val="en-GB"/>
        </w:rPr>
        <w:t xml:space="preserve">i) </w:t>
      </w:r>
      <w:r w:rsidRPr="00D66BD5">
        <w:rPr>
          <w:rFonts w:ascii="Verdana" w:hAnsi="Verdana" w:cstheme="minorHAnsi"/>
          <w:color w:val="000000"/>
          <w:sz w:val="20"/>
          <w:szCs w:val="20"/>
          <w:lang w:val="en-GB"/>
        </w:rPr>
        <w:t>number of days the Group’s vessels have been available for the pools in relation to the total available pool</w:t>
      </w:r>
      <w:r w:rsidR="002077DB" w:rsidRPr="00D66BD5">
        <w:rPr>
          <w:rFonts w:ascii="Verdana" w:hAnsi="Verdana" w:cstheme="minorHAnsi"/>
          <w:color w:val="000000"/>
          <w:sz w:val="20"/>
          <w:szCs w:val="20"/>
          <w:lang w:val="en-GB"/>
        </w:rPr>
        <w:t xml:space="preserve"> earning days during the period, and ii) </w:t>
      </w:r>
      <w:r w:rsidR="002077DB" w:rsidRPr="00D66BD5">
        <w:rPr>
          <w:rFonts w:ascii="Verdana" w:eastAsia="DIN-Regular" w:hAnsi="Verdana" w:cs="DIN-Regular"/>
          <w:sz w:val="20"/>
          <w:szCs w:val="20"/>
        </w:rPr>
        <w:t>pool points assigned to each vessel in the pool.</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V</w:t>
      </w:r>
      <w:r w:rsidR="00EB243B">
        <w:rPr>
          <w:rFonts w:ascii="Verdana" w:hAnsi="Verdana" w:cstheme="minorHAnsi"/>
          <w:b/>
          <w:bCs/>
          <w:color w:val="000000"/>
          <w:sz w:val="20"/>
          <w:szCs w:val="20"/>
          <w:lang w:val="en-GB"/>
        </w:rPr>
        <w:t>o</w:t>
      </w:r>
      <w:r w:rsidRPr="00223369">
        <w:rPr>
          <w:rFonts w:ascii="Verdana" w:hAnsi="Verdana" w:cstheme="minorHAnsi"/>
          <w:b/>
          <w:bCs/>
          <w:color w:val="000000"/>
          <w:sz w:val="20"/>
          <w:szCs w:val="20"/>
          <w:lang w:val="en-GB"/>
        </w:rPr>
        <w:t xml:space="preserve">yage </w:t>
      </w:r>
      <w:r w:rsidRPr="001F7883">
        <w:rPr>
          <w:rFonts w:ascii="Verdana" w:hAnsi="Verdana" w:cstheme="minorHAnsi"/>
          <w:b/>
          <w:bCs/>
          <w:sz w:val="20"/>
          <w:szCs w:val="20"/>
          <w:lang w:val="en-GB"/>
        </w:rPr>
        <w:t>related</w:t>
      </w:r>
      <w:r w:rsidRPr="00223369">
        <w:rPr>
          <w:rFonts w:ascii="Verdana" w:hAnsi="Verdana" w:cstheme="minorHAnsi"/>
          <w:b/>
          <w:bCs/>
          <w:color w:val="000000"/>
          <w:sz w:val="20"/>
          <w:szCs w:val="20"/>
          <w:lang w:val="en-GB"/>
        </w:rPr>
        <w:t xml:space="preserve"> expenses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These are expenses related to Nordic Shipholding’s vessels </w:t>
      </w:r>
      <w:r w:rsidR="002F4FA9">
        <w:rPr>
          <w:rFonts w:ascii="Verdana" w:hAnsi="Verdana" w:cstheme="minorHAnsi"/>
          <w:color w:val="000000"/>
          <w:sz w:val="20"/>
          <w:szCs w:val="20"/>
          <w:lang w:val="en-GB"/>
        </w:rPr>
        <w:t xml:space="preserve">managed in a pool. </w:t>
      </w:r>
      <w:r w:rsidRPr="00223369">
        <w:rPr>
          <w:rFonts w:ascii="Verdana" w:hAnsi="Verdana" w:cstheme="minorHAnsi"/>
          <w:color w:val="000000"/>
          <w:sz w:val="20"/>
          <w:szCs w:val="20"/>
          <w:lang w:val="en-GB"/>
        </w:rPr>
        <w:t>Voyage related expenses consist mainly of bunkers, port expenses and commissions. Voyage related expenses are recognised as incurred.</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1F7883">
        <w:rPr>
          <w:rFonts w:ascii="Verdana" w:hAnsi="Verdana" w:cstheme="minorHAnsi"/>
          <w:b/>
          <w:bCs/>
          <w:sz w:val="20"/>
          <w:szCs w:val="20"/>
          <w:lang w:val="en-GB"/>
        </w:rPr>
        <w:t>Operating</w:t>
      </w:r>
      <w:r w:rsidRPr="00223369">
        <w:rPr>
          <w:rFonts w:ascii="Verdana" w:hAnsi="Verdana" w:cstheme="minorHAnsi"/>
          <w:b/>
          <w:bCs/>
          <w:color w:val="000000"/>
          <w:sz w:val="20"/>
          <w:szCs w:val="20"/>
          <w:lang w:val="en-GB"/>
        </w:rPr>
        <w:t xml:space="preserve"> expenses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Operating expenses include costs relating to the operation and maintenance of vessels, including costs relating to crew. Operating expenses are recognised as incurred.</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 xml:space="preserve">Staff </w:t>
      </w:r>
      <w:r w:rsidRPr="001F7883">
        <w:rPr>
          <w:rFonts w:ascii="Verdana" w:hAnsi="Verdana" w:cstheme="minorHAnsi"/>
          <w:b/>
          <w:bCs/>
          <w:sz w:val="20"/>
          <w:szCs w:val="20"/>
          <w:lang w:val="en-GB"/>
        </w:rPr>
        <w:t>costs</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Staff costs comprise wages and salaries, </w:t>
      </w:r>
      <w:r w:rsidR="002F4FA9">
        <w:rPr>
          <w:rFonts w:ascii="Verdana" w:hAnsi="Verdana" w:cstheme="minorHAnsi"/>
          <w:color w:val="000000"/>
          <w:sz w:val="20"/>
          <w:szCs w:val="20"/>
          <w:lang w:val="en-GB"/>
        </w:rPr>
        <w:t xml:space="preserve">directors’ fees, </w:t>
      </w:r>
      <w:r w:rsidRPr="00223369">
        <w:rPr>
          <w:rFonts w:ascii="Verdana" w:hAnsi="Verdana" w:cstheme="minorHAnsi"/>
          <w:color w:val="000000"/>
          <w:sz w:val="20"/>
          <w:szCs w:val="20"/>
          <w:lang w:val="en-GB"/>
        </w:rPr>
        <w:t>social security and pension costs, etc. and are recognised as incurred.</w:t>
      </w:r>
    </w:p>
    <w:p w:rsidR="000C30BB" w:rsidRDefault="000C30BB" w:rsidP="00EB243B">
      <w:pPr>
        <w:autoSpaceDE w:val="0"/>
        <w:autoSpaceDN w:val="0"/>
        <w:adjustRightInd w:val="0"/>
        <w:jc w:val="both"/>
        <w:rPr>
          <w:rFonts w:ascii="Verdana" w:hAnsi="Verdana" w:cstheme="minorHAnsi"/>
          <w:color w:val="000000"/>
          <w:sz w:val="20"/>
          <w:szCs w:val="20"/>
          <w:lang w:val="en-GB"/>
        </w:rPr>
      </w:pP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lastRenderedPageBreak/>
        <w:t xml:space="preserve">Other </w:t>
      </w:r>
      <w:r w:rsidRPr="001F7883">
        <w:rPr>
          <w:rFonts w:ascii="Verdana" w:hAnsi="Verdana" w:cstheme="minorHAnsi"/>
          <w:b/>
          <w:bCs/>
          <w:sz w:val="20"/>
          <w:szCs w:val="20"/>
          <w:lang w:val="en-GB"/>
        </w:rPr>
        <w:t>external</w:t>
      </w:r>
      <w:r w:rsidRPr="00223369">
        <w:rPr>
          <w:rFonts w:ascii="Verdana" w:hAnsi="Verdana" w:cstheme="minorHAnsi"/>
          <w:b/>
          <w:bCs/>
          <w:color w:val="000000"/>
          <w:sz w:val="20"/>
          <w:szCs w:val="20"/>
          <w:lang w:val="en-GB"/>
        </w:rPr>
        <w:t xml:space="preserve"> costs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Other external costs comprise administrative expenses</w:t>
      </w:r>
      <w:r w:rsidR="002F4FA9">
        <w:rPr>
          <w:rFonts w:ascii="Verdana" w:hAnsi="Verdana" w:cstheme="minorHAnsi"/>
          <w:color w:val="000000"/>
          <w:sz w:val="20"/>
          <w:szCs w:val="20"/>
          <w:lang w:val="en-GB"/>
        </w:rPr>
        <w:t xml:space="preserve">. </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Depreciation and write downs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Depreciation on fixed assets pertains mainly to vessels and dry-dockings (see ‘</w:t>
      </w:r>
      <w:r w:rsidR="002F4FA9">
        <w:rPr>
          <w:rFonts w:ascii="Verdana" w:hAnsi="Verdana" w:cstheme="minorHAnsi"/>
          <w:color w:val="000000"/>
          <w:sz w:val="20"/>
          <w:szCs w:val="20"/>
          <w:lang w:val="en-GB"/>
        </w:rPr>
        <w:t>Vessels’</w:t>
      </w:r>
      <w:r w:rsidRPr="00223369">
        <w:rPr>
          <w:rFonts w:ascii="Verdana" w:hAnsi="Verdana" w:cstheme="minorHAnsi"/>
          <w:color w:val="000000"/>
          <w:sz w:val="20"/>
          <w:szCs w:val="20"/>
          <w:lang w:val="en-GB"/>
        </w:rPr>
        <w:t xml:space="preserve"> and ‘Dockings’ for the description of depreciation principles). Write downs are made when impairment tests shows that the value of fixed assets is impaired.</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Financial income and expenses, net</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B00E6F">
        <w:rPr>
          <w:rFonts w:ascii="Verdana" w:hAnsi="Verdana" w:cstheme="minorHAnsi"/>
          <w:color w:val="000000"/>
          <w:sz w:val="20"/>
          <w:szCs w:val="20"/>
          <w:lang w:val="en-GB"/>
        </w:rPr>
        <w:t xml:space="preserve">Financial income and expenses include interest income and interest expenses, realised and unrealised exchange gains and losses on payables and transactions in foreign currencies, </w:t>
      </w:r>
      <w:r w:rsidR="00D66BD5" w:rsidRPr="00B00E6F">
        <w:rPr>
          <w:rFonts w:ascii="Verdana" w:hAnsi="Verdana" w:cstheme="minorHAnsi"/>
          <w:color w:val="000000"/>
          <w:sz w:val="20"/>
          <w:szCs w:val="20"/>
          <w:lang w:val="en-GB"/>
        </w:rPr>
        <w:t>mortgage amortis</w:t>
      </w:r>
      <w:r w:rsidRPr="00B00E6F">
        <w:rPr>
          <w:rFonts w:ascii="Verdana" w:hAnsi="Verdana" w:cstheme="minorHAnsi"/>
          <w:color w:val="000000"/>
          <w:sz w:val="20"/>
          <w:szCs w:val="20"/>
          <w:lang w:val="en-GB"/>
        </w:rPr>
        <w:t>ation premium/allowance as well as additions and allowances under the on account tax scheme. Interest income and expenses</w:t>
      </w:r>
      <w:r w:rsidRPr="00223369">
        <w:rPr>
          <w:rFonts w:ascii="Verdana" w:hAnsi="Verdana" w:cstheme="minorHAnsi"/>
          <w:color w:val="000000"/>
          <w:sz w:val="20"/>
          <w:szCs w:val="20"/>
          <w:lang w:val="en-GB"/>
        </w:rPr>
        <w:t xml:space="preserve"> are accrued on the basis of the principal and the effective interest rate. The effective interest rate is the discount rate that is used to discount expected future payments related to the financial asset or the financial liability in order for the present value of such asset or liability to match its carrying amount.</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Tax</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Corporate in</w:t>
      </w:r>
      <w:r w:rsidR="004E4A0C">
        <w:rPr>
          <w:rFonts w:ascii="Verdana" w:hAnsi="Verdana" w:cstheme="minorHAnsi"/>
          <w:color w:val="000000"/>
          <w:sz w:val="20"/>
          <w:szCs w:val="20"/>
          <w:lang w:val="en-GB"/>
        </w:rPr>
        <w:t>come tax payable by the C</w:t>
      </w:r>
      <w:r w:rsidRPr="00223369">
        <w:rPr>
          <w:rFonts w:ascii="Verdana" w:hAnsi="Verdana" w:cstheme="minorHAnsi"/>
          <w:color w:val="000000"/>
          <w:sz w:val="20"/>
          <w:szCs w:val="20"/>
          <w:lang w:val="en-GB"/>
        </w:rPr>
        <w:t>ompany has been provided for at a rate of 25% of taxable income calculated according to the Danish Tonnage Tax Act for shipping activities and according to general tax legislation for other activities and net financial income. The Company and Danish subsidiaries are jointly taxed. On disposal of vessels acquired pre-2007 gains calculated as the difference between the carrying amount of vessels and their taxable acquisition price are tax is provided for at a rate of 25% of the taxable. Corporate income tax</w:t>
      </w:r>
      <w:r>
        <w:rPr>
          <w:rFonts w:ascii="Verdana" w:hAnsi="Verdana" w:cstheme="minorHAnsi"/>
          <w:color w:val="000000"/>
          <w:sz w:val="20"/>
          <w:szCs w:val="20"/>
          <w:lang w:val="en-GB"/>
        </w:rPr>
        <w:t xml:space="preserve"> payable by foreign entities is </w:t>
      </w:r>
      <w:r w:rsidRPr="00223369">
        <w:rPr>
          <w:rFonts w:ascii="Verdana" w:hAnsi="Verdana" w:cstheme="minorHAnsi"/>
          <w:color w:val="000000"/>
          <w:sz w:val="20"/>
          <w:szCs w:val="20"/>
          <w:lang w:val="en-GB"/>
        </w:rPr>
        <w:t>provided for in accordance with local legislation. Deferred tax assets are recognised to the extent that it is probable that they can be utilised against future taxable income.</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Earnings per share and diluted earnings per share</w:t>
      </w:r>
    </w:p>
    <w:p w:rsidR="001F7883" w:rsidRDefault="000913ED" w:rsidP="000C30BB">
      <w:pPr>
        <w:autoSpaceDE w:val="0"/>
        <w:autoSpaceDN w:val="0"/>
        <w:adjustRightInd w:val="0"/>
        <w:spacing w:after="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Earnings per share is calculated as the profit or loss for the year compared to the weighted average of the issued shares in the financial year. The basis for the calculation of diluted earnings per share is the weighted average number of shares in the financial year adjusted for the dilutive effect of warrants.</w:t>
      </w:r>
    </w:p>
    <w:p w:rsidR="000C30BB" w:rsidRPr="00223369" w:rsidRDefault="000C30BB" w:rsidP="000C30BB">
      <w:pPr>
        <w:autoSpaceDE w:val="0"/>
        <w:autoSpaceDN w:val="0"/>
        <w:adjustRightInd w:val="0"/>
        <w:spacing w:after="0"/>
        <w:jc w:val="both"/>
        <w:rPr>
          <w:rFonts w:ascii="Verdana" w:hAnsi="Verdana" w:cstheme="minorHAnsi"/>
          <w:color w:val="000000"/>
          <w:sz w:val="20"/>
          <w:szCs w:val="20"/>
          <w:lang w:val="en-GB"/>
        </w:rPr>
      </w:pPr>
    </w:p>
    <w:p w:rsidR="000913ED" w:rsidRDefault="000913ED" w:rsidP="000C30BB">
      <w:pPr>
        <w:autoSpaceDE w:val="0"/>
        <w:autoSpaceDN w:val="0"/>
        <w:adjustRightInd w:val="0"/>
        <w:spacing w:after="0"/>
        <w:jc w:val="both"/>
        <w:rPr>
          <w:rFonts w:ascii="Verdana" w:hAnsi="Verdana" w:cstheme="minorHAnsi"/>
          <w:b/>
          <w:bCs/>
          <w:color w:val="95B3D7" w:themeColor="accent1" w:themeTint="99"/>
          <w:sz w:val="20"/>
          <w:szCs w:val="20"/>
          <w:lang w:val="en-GB"/>
        </w:rPr>
      </w:pPr>
      <w:r w:rsidRPr="004E35DC">
        <w:rPr>
          <w:rFonts w:ascii="Verdana" w:hAnsi="Verdana" w:cstheme="minorHAnsi"/>
          <w:b/>
          <w:bCs/>
          <w:color w:val="95B3D7" w:themeColor="accent1" w:themeTint="99"/>
          <w:sz w:val="20"/>
          <w:szCs w:val="20"/>
          <w:lang w:val="en-GB"/>
        </w:rPr>
        <w:t>Statement of financial position</w:t>
      </w:r>
    </w:p>
    <w:p w:rsidR="000C30BB" w:rsidRPr="004E35DC" w:rsidRDefault="000C30BB" w:rsidP="000C30BB">
      <w:pPr>
        <w:autoSpaceDE w:val="0"/>
        <w:autoSpaceDN w:val="0"/>
        <w:adjustRightInd w:val="0"/>
        <w:spacing w:after="0"/>
        <w:jc w:val="both"/>
        <w:rPr>
          <w:rFonts w:ascii="Verdana" w:hAnsi="Verdana" w:cstheme="minorHAnsi"/>
          <w:b/>
          <w:bCs/>
          <w:color w:val="95B3D7" w:themeColor="accent1" w:themeTint="99"/>
          <w:sz w:val="20"/>
          <w:szCs w:val="20"/>
          <w:lang w:val="en-GB"/>
        </w:rPr>
      </w:pPr>
    </w:p>
    <w:p w:rsidR="000913ED" w:rsidRPr="00223369" w:rsidRDefault="000913ED" w:rsidP="000C30BB">
      <w:pPr>
        <w:autoSpaceDE w:val="0"/>
        <w:autoSpaceDN w:val="0"/>
        <w:adjustRightInd w:val="0"/>
        <w:spacing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Property, plant and equipment</w:t>
      </w:r>
    </w:p>
    <w:p w:rsidR="005E6F27"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Property, plant and equipment includes vessels, upgrade costs</w:t>
      </w:r>
      <w:r w:rsidR="007052DD">
        <w:rPr>
          <w:rFonts w:ascii="Verdana" w:hAnsi="Verdana" w:cstheme="minorHAnsi"/>
          <w:color w:val="000000"/>
          <w:sz w:val="20"/>
          <w:szCs w:val="20"/>
          <w:lang w:val="en-GB"/>
        </w:rPr>
        <w:t xml:space="preserve"> and dockings, </w:t>
      </w:r>
      <w:r w:rsidRPr="00223369">
        <w:rPr>
          <w:rFonts w:ascii="Verdana" w:hAnsi="Verdana" w:cstheme="minorHAnsi"/>
          <w:color w:val="000000"/>
          <w:sz w:val="20"/>
          <w:szCs w:val="20"/>
          <w:lang w:val="en-GB"/>
        </w:rPr>
        <w:t xml:space="preserve">and are measured at cost less accumulated depreciation and impairment losses. </w:t>
      </w:r>
    </w:p>
    <w:p w:rsidR="005E6F27"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 cost comprises the cost of acquisition and any expenses directly related to the acquisition until the time when the asset is ready for use, including interest expenses incurred during the period of construction. Other borrowing costs are taken to the income statement. </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Depreciation is charged over the expected economic lives of the assets, and the depreciation methods, expected lives and residual values are reassessed individually for the assets at the end of each financial year. </w:t>
      </w:r>
    </w:p>
    <w:p w:rsidR="000C30BB" w:rsidRDefault="000C30BB" w:rsidP="00EB243B">
      <w:pPr>
        <w:autoSpaceDE w:val="0"/>
        <w:autoSpaceDN w:val="0"/>
        <w:adjustRightInd w:val="0"/>
        <w:jc w:val="both"/>
        <w:rPr>
          <w:rFonts w:ascii="Verdana" w:hAnsi="Verdana" w:cstheme="minorHAnsi"/>
          <w:color w:val="000000"/>
          <w:sz w:val="20"/>
          <w:szCs w:val="20"/>
          <w:lang w:val="en-GB"/>
        </w:rPr>
      </w:pPr>
    </w:p>
    <w:p w:rsidR="000C30BB" w:rsidRDefault="000C30BB" w:rsidP="00EB243B">
      <w:pPr>
        <w:autoSpaceDE w:val="0"/>
        <w:autoSpaceDN w:val="0"/>
        <w:adjustRightInd w:val="0"/>
        <w:jc w:val="both"/>
        <w:rPr>
          <w:rFonts w:ascii="Verdana" w:hAnsi="Verdana" w:cstheme="minorHAnsi"/>
          <w:color w:val="000000"/>
          <w:sz w:val="20"/>
          <w:szCs w:val="20"/>
          <w:lang w:val="en-GB"/>
        </w:rPr>
      </w:pPr>
    </w:p>
    <w:p w:rsidR="000C30BB" w:rsidRDefault="000C30BB" w:rsidP="00EB243B">
      <w:pPr>
        <w:autoSpaceDE w:val="0"/>
        <w:autoSpaceDN w:val="0"/>
        <w:adjustRightInd w:val="0"/>
        <w:jc w:val="both"/>
        <w:rPr>
          <w:rFonts w:ascii="Verdana" w:hAnsi="Verdana" w:cstheme="minorHAnsi"/>
          <w:color w:val="000000"/>
          <w:sz w:val="20"/>
          <w:szCs w:val="20"/>
          <w:lang w:val="en-GB"/>
        </w:rPr>
      </w:pPr>
    </w:p>
    <w:p w:rsidR="005E6F27"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lastRenderedPageBreak/>
        <w:t>Vessels are measured at cost less accumulated depreciation and write-downs. All major components of vessels except for dry-docking assets are depreciated on a straight-line basis to the estimated residual value over their estimated useful live</w:t>
      </w:r>
      <w:r w:rsidR="004E35DC">
        <w:rPr>
          <w:rFonts w:ascii="Verdana" w:hAnsi="Verdana" w:cstheme="minorHAnsi"/>
          <w:color w:val="000000"/>
          <w:sz w:val="20"/>
          <w:szCs w:val="20"/>
          <w:lang w:val="en-GB"/>
        </w:rPr>
        <w:t xml:space="preserve">s, which Nordic Shipholding </w:t>
      </w:r>
      <w:r w:rsidRPr="00223369">
        <w:rPr>
          <w:rFonts w:ascii="Verdana" w:hAnsi="Verdana" w:cstheme="minorHAnsi"/>
          <w:color w:val="000000"/>
          <w:sz w:val="20"/>
          <w:szCs w:val="20"/>
          <w:lang w:val="en-GB"/>
        </w:rPr>
        <w:t xml:space="preserve">estimates to be 25 years. Depreciation is based on cost less the estimated residual value. Residual value is estimated as the light weight tonnage of each vessel multiplied by scrap value per ton. </w:t>
      </w:r>
    </w:p>
    <w:p w:rsidR="005E6F27"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 useful life and residual value of the vessels are reviewed at least at each financial year-end based on market conditions, regulatory requirements and the Group’s business plans. Moreover, the Group evaluates the carrying amount of the vessels to determine whether events have occurred that indicate impairment and would require an adjustment of the carrying amounts. </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Prepayments on vessels under construction are recognised as </w:t>
      </w:r>
      <w:r w:rsidR="00EB243B" w:rsidRPr="00223369">
        <w:rPr>
          <w:rFonts w:ascii="Verdana" w:hAnsi="Verdana" w:cstheme="minorHAnsi"/>
          <w:color w:val="000000"/>
          <w:sz w:val="20"/>
          <w:szCs w:val="20"/>
          <w:lang w:val="en-GB"/>
        </w:rPr>
        <w:t>instalments</w:t>
      </w:r>
      <w:r w:rsidRPr="00223369">
        <w:rPr>
          <w:rFonts w:ascii="Verdana" w:hAnsi="Verdana" w:cstheme="minorHAnsi"/>
          <w:color w:val="000000"/>
          <w:sz w:val="20"/>
          <w:szCs w:val="20"/>
          <w:lang w:val="en-GB"/>
        </w:rPr>
        <w:t xml:space="preserve"> paid. </w:t>
      </w:r>
    </w:p>
    <w:p w:rsidR="005E6F27"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The fleet of own vessels is required to undergo planned dry dockings for major repairs and maintenance, which cannot be carried out while the vessels are operating. Dry-dockings are generally required every 30-60 months depending on the nature of the work. Costs relating to dry-dockings are capitalised and depreciated on a straight-line basis over a period of 30 months. The residual value is estimated at zero. </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A portion of the cost of acquiring a new vessel is allocated to the components expected to be replaced or refurbished at the next dry-docking. For new buildings, the initial dry-docking asset is estimated on the basis of the expected costs related to the first-coming docking, which is based on experience with similar vessels. At subsequent dry-dockings, the asset comprises the actual docking costs incurred. </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Impairment tests</w:t>
      </w:r>
    </w:p>
    <w:p w:rsidR="007052DD" w:rsidRDefault="007052DD" w:rsidP="007052DD">
      <w:pPr>
        <w:autoSpaceDE w:val="0"/>
        <w:autoSpaceDN w:val="0"/>
        <w:adjustRightInd w:val="0"/>
        <w:jc w:val="both"/>
        <w:rPr>
          <w:rFonts w:ascii="Verdana" w:hAnsi="Verdana" w:cstheme="minorHAnsi"/>
          <w:color w:val="000000"/>
          <w:sz w:val="20"/>
          <w:szCs w:val="20"/>
          <w:lang w:val="en-GB"/>
        </w:rPr>
      </w:pPr>
      <w:r>
        <w:rPr>
          <w:rFonts w:ascii="Verdana" w:hAnsi="Verdana" w:cstheme="minorHAnsi"/>
          <w:color w:val="000000"/>
          <w:sz w:val="20"/>
          <w:szCs w:val="20"/>
          <w:lang w:val="en-GB"/>
        </w:rPr>
        <w:t xml:space="preserve">Vessels are tested for impairment when there are indications of impairment. </w:t>
      </w:r>
    </w:p>
    <w:p w:rsidR="00263E33"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If an indication of impairment is identified, the recoverable amount of the asset is estimated in order to determine the need for recognising an impairment loss and the extent hereof. If an asset does not generate cash flows that are independent from other assets, the recoverable amount is determined for the smallest cash-generating unit to which the asset belongs. The recoverable amount is defined as the higher of the fair value of the asset or the cash generating unit less costs to sell and the value in use. </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In assessing value in use, the estimated future cash flows are discounted to their present value using a discount rate that reflects current market assessments of the time value of money, the risks specific to the asset or the cash-generating unit for which the estimates of future cash flows have not been adjusted. </w:t>
      </w:r>
    </w:p>
    <w:p w:rsidR="000913ED" w:rsidRPr="00223369" w:rsidRDefault="007052DD" w:rsidP="00EB243B">
      <w:pPr>
        <w:autoSpaceDE w:val="0"/>
        <w:autoSpaceDN w:val="0"/>
        <w:adjustRightInd w:val="0"/>
        <w:jc w:val="both"/>
        <w:rPr>
          <w:rFonts w:ascii="Verdana" w:hAnsi="Verdana" w:cstheme="minorHAnsi"/>
          <w:color w:val="000000"/>
          <w:sz w:val="20"/>
          <w:szCs w:val="20"/>
          <w:lang w:val="en-GB"/>
        </w:rPr>
      </w:pPr>
      <w:r>
        <w:rPr>
          <w:rFonts w:ascii="Verdana" w:hAnsi="Verdana" w:cstheme="minorHAnsi"/>
          <w:color w:val="000000"/>
          <w:sz w:val="20"/>
          <w:szCs w:val="20"/>
          <w:lang w:val="en-GB"/>
        </w:rPr>
        <w:t>The fair value of vessel</w:t>
      </w:r>
      <w:r w:rsidR="000913ED" w:rsidRPr="00223369">
        <w:rPr>
          <w:rFonts w:ascii="Verdana" w:hAnsi="Verdana" w:cstheme="minorHAnsi"/>
          <w:color w:val="000000"/>
          <w:sz w:val="20"/>
          <w:szCs w:val="20"/>
          <w:lang w:val="en-GB"/>
        </w:rPr>
        <w:t xml:space="preserve"> is usually determined based on the estimated selling price assessed by external brokers less costs to sell. If the recoverable amount of the asset or cash-generating unit is estimated to be less than its carrying amount, the carrying amount is reduced to the recoverable amount. </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An impairment loss for the cash-generating unit is first allocated to goodwill and subsequently to the assets of the unit, but no asset will be reduced to a lower value than its fair value less expected costs to sell. Impairment losses are recognised in the statement of comprehensive income. If an impairment loss subsequently is reversed for other assets than goodwill as a result of changes in assumptions used to determine the recoverable amount, the carrying amount of the asset or cash-generating unit is increased to the revised recoverable amount, but so that the increased carrying amount does not exceed the carrying amount that would have been determined had no impairment loss been recognised for the asset or cash-generating unit.</w:t>
      </w:r>
    </w:p>
    <w:p w:rsidR="000913ED" w:rsidRPr="00223369" w:rsidRDefault="00263E33" w:rsidP="001F7883">
      <w:pPr>
        <w:autoSpaceDE w:val="0"/>
        <w:autoSpaceDN w:val="0"/>
        <w:adjustRightInd w:val="0"/>
        <w:spacing w:before="360" w:after="0"/>
        <w:jc w:val="both"/>
        <w:rPr>
          <w:rFonts w:ascii="Verdana" w:hAnsi="Verdana" w:cstheme="minorHAnsi"/>
          <w:b/>
          <w:bCs/>
          <w:color w:val="000000"/>
          <w:sz w:val="20"/>
          <w:szCs w:val="20"/>
          <w:lang w:val="en-GB"/>
        </w:rPr>
      </w:pPr>
      <w:r>
        <w:rPr>
          <w:rFonts w:ascii="Verdana" w:hAnsi="Verdana" w:cstheme="minorHAnsi"/>
          <w:b/>
          <w:bCs/>
          <w:color w:val="000000"/>
          <w:sz w:val="20"/>
          <w:szCs w:val="20"/>
          <w:lang w:val="en-GB"/>
        </w:rPr>
        <w:lastRenderedPageBreak/>
        <w:t>Lubricant stocks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Inventories consist of oils and lubricants, etc. and are measured at cost using the FIFO method or the net realisable value, whichever is lower.</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Receivables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Receivables comprise trade receivables, loans and other receivables. Receivables are classified as loans and receivables that are financial assets, with fixed or determinable payments, that are not quoted in an active market and which are not derivative financial instruments. Receivables are initially measured at fair value and subsequently at amortised cost, which usually equals the nominal value less provisions for bad debts. Write down is done individually using a provisions account.</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Prepayments</w:t>
      </w:r>
    </w:p>
    <w:p w:rsidR="000913ED" w:rsidRPr="00223369" w:rsidRDefault="000913ED" w:rsidP="00EB243B">
      <w:pPr>
        <w:autoSpaceDE w:val="0"/>
        <w:autoSpaceDN w:val="0"/>
        <w:adjustRightInd w:val="0"/>
        <w:jc w:val="both"/>
        <w:rPr>
          <w:rFonts w:ascii="Verdana" w:hAnsi="Verdana" w:cstheme="minorHAnsi"/>
          <w:b/>
          <w:bCs/>
          <w:color w:val="000000"/>
          <w:sz w:val="20"/>
          <w:szCs w:val="20"/>
          <w:lang w:val="en-GB"/>
        </w:rPr>
      </w:pPr>
      <w:r w:rsidRPr="00223369">
        <w:rPr>
          <w:rFonts w:ascii="Verdana" w:hAnsi="Verdana" w:cstheme="minorHAnsi"/>
          <w:color w:val="000000"/>
          <w:sz w:val="20"/>
          <w:szCs w:val="20"/>
          <w:lang w:val="en-GB"/>
        </w:rPr>
        <w:t>Prepayments recognised under assets comprise paid-up expenses relating to the subsequent financial year. Prepayments are measured at cost.</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Dividend</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Dividend is recognised as a liability at the time of approval by the General Meeting. Dividend proposed by </w:t>
      </w:r>
      <w:r w:rsidR="008D3E76">
        <w:rPr>
          <w:rFonts w:ascii="Verdana" w:hAnsi="Verdana" w:cstheme="minorHAnsi"/>
          <w:color w:val="000000"/>
          <w:sz w:val="20"/>
          <w:szCs w:val="20"/>
          <w:lang w:val="en-GB"/>
        </w:rPr>
        <w:t>m</w:t>
      </w:r>
      <w:r w:rsidRPr="00223369">
        <w:rPr>
          <w:rFonts w:ascii="Verdana" w:hAnsi="Verdana" w:cstheme="minorHAnsi"/>
          <w:color w:val="000000"/>
          <w:sz w:val="20"/>
          <w:szCs w:val="20"/>
          <w:lang w:val="en-GB"/>
        </w:rPr>
        <w:t>anagement in respect of the year is stated under equity.</w:t>
      </w:r>
    </w:p>
    <w:p w:rsidR="00EB243B"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Treasury shares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Acquisition costs and consideration for treasury shares and dividend on treasury shares are recognised directly as retained earnings in equity.</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Provisions</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Provisions are recognised when the Group has a legal or constructive obligation as a result of past events, for which it is probable that an outflow of resources embodying economic benefits will be required to settle the obligation. Provisions are measured as the best estimate of the expenditure required to settle the obligation at the balance sheet date. Provisions with an expected maturity of more than one year from the balance sheet date are measured at present value.</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Finance loans</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Finance loans are initially measured at fair value less any transaction costs. Finance loans are subsequently measured at amortised cost. This means that the difference between the amount on initial recognition and the redemption value is recognised in the income statement as a financial expense over the term of the loan using the effective interest method.</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Lease commitments</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Lease payments relating to operating leases are recognised using the straight</w:t>
      </w:r>
      <w:r>
        <w:rPr>
          <w:rFonts w:ascii="Verdana" w:hAnsi="Verdana" w:cstheme="minorHAnsi"/>
          <w:color w:val="000000"/>
          <w:sz w:val="20"/>
          <w:szCs w:val="20"/>
          <w:lang w:val="en-GB"/>
        </w:rPr>
        <w:t xml:space="preserve"> </w:t>
      </w:r>
      <w:r w:rsidRPr="00223369">
        <w:rPr>
          <w:rFonts w:ascii="Verdana" w:hAnsi="Verdana" w:cstheme="minorHAnsi"/>
          <w:color w:val="000000"/>
          <w:sz w:val="20"/>
          <w:szCs w:val="20"/>
          <w:lang w:val="en-GB"/>
        </w:rPr>
        <w:t>line method in the income statement over the term of the leases.</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Other financial liabilities</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Other financial liabilities comprise trade payables and other payables to public authorities, etc. Other financial liabilities are initially measured at fair value less any transaction costs. Liabilities are subsequently measured at amortised cost using the effective interest method. Accordingly, the difference between the proceeds and the nominal value is recognised in the income statement as a financial expense over the term of the loan.</w:t>
      </w:r>
    </w:p>
    <w:p w:rsidR="00A8750D" w:rsidRDefault="00A8750D" w:rsidP="001F7883">
      <w:pPr>
        <w:autoSpaceDE w:val="0"/>
        <w:autoSpaceDN w:val="0"/>
        <w:adjustRightInd w:val="0"/>
        <w:spacing w:before="360" w:after="0"/>
        <w:jc w:val="both"/>
        <w:rPr>
          <w:rFonts w:ascii="Verdana" w:hAnsi="Verdana" w:cstheme="minorHAnsi"/>
          <w:b/>
          <w:bCs/>
          <w:color w:val="000000"/>
          <w:sz w:val="20"/>
          <w:szCs w:val="20"/>
          <w:lang w:val="en-GB"/>
        </w:rPr>
      </w:pP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lastRenderedPageBreak/>
        <w:t>Deferred income</w:t>
      </w:r>
    </w:p>
    <w:p w:rsidR="001F7883"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Deferred income recognised under liabilities comprises received income for recognition in subsequent financial years. Deferred income is measured at nominal value.</w:t>
      </w:r>
    </w:p>
    <w:p w:rsidR="000913ED" w:rsidRPr="004E35DC" w:rsidRDefault="000913ED" w:rsidP="00EB243B">
      <w:pPr>
        <w:autoSpaceDE w:val="0"/>
        <w:autoSpaceDN w:val="0"/>
        <w:adjustRightInd w:val="0"/>
        <w:jc w:val="both"/>
        <w:rPr>
          <w:rFonts w:ascii="Verdana" w:hAnsi="Verdana" w:cstheme="minorHAnsi"/>
          <w:b/>
          <w:bCs/>
          <w:color w:val="95B3D7" w:themeColor="accent1" w:themeTint="99"/>
          <w:sz w:val="20"/>
          <w:szCs w:val="20"/>
          <w:lang w:val="en-GB"/>
        </w:rPr>
      </w:pPr>
      <w:r w:rsidRPr="004E35DC">
        <w:rPr>
          <w:rFonts w:ascii="Verdana" w:hAnsi="Verdana" w:cstheme="minorHAnsi"/>
          <w:b/>
          <w:bCs/>
          <w:color w:val="95B3D7" w:themeColor="accent1" w:themeTint="99"/>
          <w:sz w:val="20"/>
          <w:szCs w:val="20"/>
          <w:lang w:val="en-GB"/>
        </w:rPr>
        <w:t>Cash flow statement</w:t>
      </w:r>
    </w:p>
    <w:p w:rsidR="000913ED" w:rsidRPr="00223369" w:rsidRDefault="00113821" w:rsidP="00EB243B">
      <w:pPr>
        <w:autoSpaceDE w:val="0"/>
        <w:autoSpaceDN w:val="0"/>
        <w:adjustRightInd w:val="0"/>
        <w:jc w:val="both"/>
        <w:rPr>
          <w:rFonts w:ascii="Verdana" w:hAnsi="Verdana" w:cstheme="minorHAnsi"/>
          <w:color w:val="000000"/>
          <w:sz w:val="20"/>
          <w:szCs w:val="20"/>
          <w:lang w:val="en-GB"/>
        </w:rPr>
      </w:pPr>
      <w:r>
        <w:rPr>
          <w:rFonts w:ascii="Verdana" w:hAnsi="Verdana" w:cstheme="minorHAnsi"/>
          <w:color w:val="000000"/>
          <w:sz w:val="20"/>
          <w:szCs w:val="20"/>
          <w:lang w:val="en-GB"/>
        </w:rPr>
        <w:t>The consolidated and C</w:t>
      </w:r>
      <w:r w:rsidR="000913ED" w:rsidRPr="00223369">
        <w:rPr>
          <w:rFonts w:ascii="Verdana" w:hAnsi="Verdana" w:cstheme="minorHAnsi"/>
          <w:color w:val="000000"/>
          <w:sz w:val="20"/>
          <w:szCs w:val="20"/>
          <w:lang w:val="en-GB"/>
        </w:rPr>
        <w:t xml:space="preserve">ompany cash flow statements are presented using the indirect method and show cash flows from operating, investing and financing activities as well as cash and cash equivalents at the beginning and end of the year. </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Cash flows from operating activities are stated as the operating profit or loss, adjusted for non-cash operating items and changes in working capital, less corporation tax paid attributable to operating activities. </w:t>
      </w:r>
    </w:p>
    <w:p w:rsidR="005E6F27"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Cash flows from investing activities include payments in connection with the acquisition and divestment of enterprises and financial assets and the acquisition, development, improvement and sale, etc. of intangibles and property, plant and equipment. </w:t>
      </w:r>
    </w:p>
    <w:p w:rsidR="000913ED" w:rsidRPr="00223369"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Cash flows from acquisition and divestment of enterprises are shown separately under cash flows from investing activities. Cash flows from acquired enterprises are recognised in the cash flow statement from the time of their acquisition, and cash flows from divested enterprises are recognised up to the time of sale. </w:t>
      </w:r>
    </w:p>
    <w:p w:rsidR="000913ED"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Cash flows from financing activities comprise changes in the </w:t>
      </w:r>
      <w:r w:rsidR="004E4A0C">
        <w:rPr>
          <w:rFonts w:ascii="Verdana" w:hAnsi="Verdana" w:cstheme="minorHAnsi"/>
          <w:color w:val="000000"/>
          <w:sz w:val="20"/>
          <w:szCs w:val="20"/>
          <w:lang w:val="en-GB"/>
        </w:rPr>
        <w:t>C</w:t>
      </w:r>
      <w:r w:rsidRPr="00223369">
        <w:rPr>
          <w:rFonts w:ascii="Verdana" w:hAnsi="Verdana" w:cstheme="minorHAnsi"/>
          <w:color w:val="000000"/>
          <w:sz w:val="20"/>
          <w:szCs w:val="20"/>
          <w:lang w:val="en-GB"/>
        </w:rPr>
        <w:t>ompany’s share capital and related costs as well as raising and repayment of loans, instalments on interest bearing debt, acquisition of treasury shares and payment of dividend.</w:t>
      </w:r>
    </w:p>
    <w:p w:rsidR="008B63AD" w:rsidRDefault="008B63AD" w:rsidP="00EB243B">
      <w:pPr>
        <w:autoSpaceDE w:val="0"/>
        <w:autoSpaceDN w:val="0"/>
        <w:adjustRightInd w:val="0"/>
        <w:jc w:val="both"/>
        <w:rPr>
          <w:rFonts w:ascii="Verdana" w:hAnsi="Verdana" w:cstheme="minorHAnsi"/>
          <w:color w:val="000000"/>
          <w:sz w:val="20"/>
          <w:szCs w:val="20"/>
          <w:lang w:val="en-GB"/>
        </w:rPr>
      </w:pPr>
      <w:r>
        <w:rPr>
          <w:rFonts w:ascii="Verdana" w:hAnsi="Verdana" w:cstheme="minorHAnsi"/>
          <w:color w:val="000000"/>
          <w:sz w:val="20"/>
          <w:szCs w:val="20"/>
          <w:lang w:val="en-GB"/>
        </w:rPr>
        <w:t>Cash flows from discontinued activities are presented separately in the cash flow statement.</w:t>
      </w:r>
    </w:p>
    <w:p w:rsidR="005E6F27"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Cash flows in other currencies than the functional currency are recognised in the cash flow statement using average exchange rates for the respective months, unless these deviate materially from the actual exchange rates ruling at the dates of the transactions. If so, the actual exchange rates are used. </w:t>
      </w:r>
    </w:p>
    <w:p w:rsidR="001F7883" w:rsidRDefault="000913ED" w:rsidP="00EB243B">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Cash and cash equivalents comprise cash less any bank overdrafts which form an integral part of the Group’s cash management.</w:t>
      </w:r>
    </w:p>
    <w:p w:rsidR="000C30BB" w:rsidRDefault="000C30BB" w:rsidP="00EB243B">
      <w:pPr>
        <w:autoSpaceDE w:val="0"/>
        <w:autoSpaceDN w:val="0"/>
        <w:adjustRightInd w:val="0"/>
        <w:jc w:val="both"/>
        <w:rPr>
          <w:rFonts w:ascii="Verdana" w:hAnsi="Verdana" w:cstheme="minorHAnsi"/>
          <w:b/>
          <w:bCs/>
          <w:color w:val="95B3D7" w:themeColor="accent1" w:themeTint="99"/>
          <w:sz w:val="20"/>
          <w:szCs w:val="20"/>
          <w:lang w:val="en-GB"/>
        </w:rPr>
      </w:pPr>
    </w:p>
    <w:p w:rsidR="000913ED" w:rsidRPr="004E35DC" w:rsidRDefault="00D862E9" w:rsidP="00EB243B">
      <w:pPr>
        <w:autoSpaceDE w:val="0"/>
        <w:autoSpaceDN w:val="0"/>
        <w:adjustRightInd w:val="0"/>
        <w:jc w:val="both"/>
        <w:rPr>
          <w:rFonts w:ascii="Verdana" w:hAnsi="Verdana" w:cstheme="minorHAnsi"/>
          <w:b/>
          <w:bCs/>
          <w:color w:val="95B3D7" w:themeColor="accent1" w:themeTint="99"/>
          <w:sz w:val="20"/>
          <w:szCs w:val="20"/>
          <w:lang w:val="en-GB"/>
        </w:rPr>
      </w:pPr>
      <w:r w:rsidRPr="004E35DC">
        <w:rPr>
          <w:rFonts w:ascii="Verdana" w:hAnsi="Verdana" w:cstheme="minorHAnsi"/>
          <w:b/>
          <w:bCs/>
          <w:color w:val="95B3D7" w:themeColor="accent1" w:themeTint="99"/>
          <w:sz w:val="20"/>
          <w:szCs w:val="20"/>
          <w:lang w:val="en-GB"/>
        </w:rPr>
        <w:t>S</w:t>
      </w:r>
      <w:r w:rsidR="000913ED" w:rsidRPr="004E35DC">
        <w:rPr>
          <w:rFonts w:ascii="Verdana" w:hAnsi="Verdana" w:cstheme="minorHAnsi"/>
          <w:b/>
          <w:bCs/>
          <w:color w:val="95B3D7" w:themeColor="accent1" w:themeTint="99"/>
          <w:sz w:val="20"/>
          <w:szCs w:val="20"/>
          <w:lang w:val="en-GB"/>
        </w:rPr>
        <w:t xml:space="preserve">upplementary accounting policies for the </w:t>
      </w:r>
      <w:r w:rsidR="003F70A1" w:rsidRPr="004E35DC">
        <w:rPr>
          <w:rFonts w:ascii="Verdana" w:hAnsi="Verdana" w:cstheme="minorHAnsi"/>
          <w:b/>
          <w:bCs/>
          <w:color w:val="95B3D7" w:themeColor="accent1" w:themeTint="99"/>
          <w:sz w:val="20"/>
          <w:szCs w:val="20"/>
          <w:lang w:val="en-GB"/>
        </w:rPr>
        <w:t>C</w:t>
      </w:r>
      <w:r w:rsidR="000913ED" w:rsidRPr="004E35DC">
        <w:rPr>
          <w:rFonts w:ascii="Verdana" w:hAnsi="Verdana" w:cstheme="minorHAnsi"/>
          <w:b/>
          <w:bCs/>
          <w:color w:val="95B3D7" w:themeColor="accent1" w:themeTint="99"/>
          <w:sz w:val="20"/>
          <w:szCs w:val="20"/>
          <w:lang w:val="en-GB"/>
        </w:rPr>
        <w:t>ompany</w:t>
      </w:r>
    </w:p>
    <w:p w:rsidR="000913ED" w:rsidRPr="00223369" w:rsidRDefault="000913ED" w:rsidP="001F7883">
      <w:pPr>
        <w:autoSpaceDE w:val="0"/>
        <w:autoSpaceDN w:val="0"/>
        <w:adjustRightInd w:val="0"/>
        <w:spacing w:before="360" w:after="0"/>
        <w:jc w:val="both"/>
        <w:rPr>
          <w:rFonts w:ascii="Verdana" w:hAnsi="Verdana" w:cstheme="minorHAnsi"/>
          <w:b/>
          <w:bCs/>
          <w:color w:val="000000"/>
          <w:sz w:val="20"/>
          <w:szCs w:val="20"/>
          <w:lang w:val="en-GB"/>
        </w:rPr>
      </w:pPr>
      <w:r w:rsidRPr="00223369">
        <w:rPr>
          <w:rFonts w:ascii="Verdana" w:hAnsi="Verdana" w:cstheme="minorHAnsi"/>
          <w:b/>
          <w:bCs/>
          <w:color w:val="000000"/>
          <w:sz w:val="20"/>
          <w:szCs w:val="20"/>
          <w:lang w:val="en-GB"/>
        </w:rPr>
        <w:t>Investments in subsidiaries in the financial statements of the</w:t>
      </w:r>
      <w:r w:rsidR="003F70A1">
        <w:rPr>
          <w:rFonts w:ascii="Verdana" w:hAnsi="Verdana" w:cstheme="minorHAnsi"/>
          <w:b/>
          <w:bCs/>
          <w:color w:val="000000"/>
          <w:sz w:val="20"/>
          <w:szCs w:val="20"/>
          <w:lang w:val="en-GB"/>
        </w:rPr>
        <w:t xml:space="preserve"> C</w:t>
      </w:r>
      <w:r w:rsidRPr="00223369">
        <w:rPr>
          <w:rFonts w:ascii="Verdana" w:hAnsi="Verdana" w:cstheme="minorHAnsi"/>
          <w:b/>
          <w:bCs/>
          <w:color w:val="000000"/>
          <w:sz w:val="20"/>
          <w:szCs w:val="20"/>
          <w:lang w:val="en-GB"/>
        </w:rPr>
        <w:t>ompany</w:t>
      </w:r>
    </w:p>
    <w:p w:rsidR="00BB46BE" w:rsidRDefault="000913ED" w:rsidP="001F7883">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 xml:space="preserve">Investments in subsidiaries are measured at cost. If the cost price exceeds the recoverable amount of the investment, it is written down to this lower amount. The recoverable amount is defined as the higher of the fair value of the subsidiary less costs of sale and the value in use. In assessing value in use, the estimated future cash flows are discounted to their present value using a discount rate that reflects current market assessments of the time value of money, the risks specific to the enterprise in question for which the estimates of future cash flows have not been adjusted. </w:t>
      </w:r>
    </w:p>
    <w:p w:rsidR="001F7883" w:rsidRPr="001F7883" w:rsidRDefault="000913ED" w:rsidP="001F7883">
      <w:pPr>
        <w:autoSpaceDE w:val="0"/>
        <w:autoSpaceDN w:val="0"/>
        <w:adjustRightInd w:val="0"/>
        <w:jc w:val="both"/>
        <w:rPr>
          <w:rFonts w:ascii="Verdana" w:hAnsi="Verdana" w:cstheme="minorHAnsi"/>
          <w:color w:val="000000"/>
          <w:sz w:val="20"/>
          <w:szCs w:val="20"/>
          <w:lang w:val="en-GB"/>
        </w:rPr>
      </w:pPr>
      <w:r w:rsidRPr="00223369">
        <w:rPr>
          <w:rFonts w:ascii="Verdana" w:hAnsi="Verdana" w:cstheme="minorHAnsi"/>
          <w:color w:val="000000"/>
          <w:sz w:val="20"/>
          <w:szCs w:val="20"/>
          <w:lang w:val="en-GB"/>
        </w:rPr>
        <w:t>Dividends received from subsidiaries and associates are recognised in statement of comprehensive income.</w:t>
      </w:r>
    </w:p>
    <w:p w:rsidR="000913ED" w:rsidRDefault="000913ED" w:rsidP="000913ED">
      <w:pPr>
        <w:rPr>
          <w:lang w:val="en-GB"/>
        </w:rPr>
      </w:pPr>
      <w:r>
        <w:rPr>
          <w:lang w:val="en-GB"/>
        </w:rPr>
        <w:br w:type="page"/>
      </w:r>
    </w:p>
    <w:p w:rsidR="003F70A1" w:rsidRDefault="003F70A1" w:rsidP="003F70A1">
      <w:pPr>
        <w:pStyle w:val="ListParagraph"/>
        <w:spacing w:after="200" w:line="276" w:lineRule="auto"/>
        <w:ind w:hanging="72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lastRenderedPageBreak/>
        <w:t xml:space="preserve">3. </w:t>
      </w:r>
      <w:r>
        <w:rPr>
          <w:rStyle w:val="Strong"/>
          <w:rFonts w:ascii="Verdana" w:hAnsi="Verdana" w:cstheme="minorHAnsi"/>
          <w:color w:val="95B3D7" w:themeColor="accent1" w:themeTint="99"/>
          <w:sz w:val="20"/>
          <w:szCs w:val="20"/>
        </w:rPr>
        <w:tab/>
      </w:r>
      <w:r w:rsidRPr="003F70A1">
        <w:rPr>
          <w:rStyle w:val="Strong"/>
          <w:rFonts w:ascii="Verdana" w:hAnsi="Verdana" w:cstheme="minorHAnsi"/>
          <w:color w:val="95B3D7" w:themeColor="accent1" w:themeTint="99"/>
          <w:sz w:val="20"/>
          <w:szCs w:val="20"/>
        </w:rPr>
        <w:t>Discontinued operations and assets held for sale</w:t>
      </w:r>
    </w:p>
    <w:p w:rsidR="003F70A1" w:rsidRPr="003F70A1" w:rsidRDefault="003F70A1" w:rsidP="003F70A1">
      <w:pPr>
        <w:jc w:val="both"/>
        <w:rPr>
          <w:rFonts w:ascii="Verdana" w:hAnsi="Verdana"/>
          <w:sz w:val="20"/>
          <w:szCs w:val="20"/>
          <w:lang w:val="en-GB"/>
        </w:rPr>
      </w:pPr>
      <w:r w:rsidRPr="003F70A1">
        <w:rPr>
          <w:rFonts w:ascii="Verdana" w:hAnsi="Verdana"/>
          <w:sz w:val="20"/>
          <w:szCs w:val="20"/>
          <w:lang w:val="en-GB"/>
        </w:rPr>
        <w:t>On 27 March 2012</w:t>
      </w:r>
      <w:r>
        <w:rPr>
          <w:rFonts w:ascii="Verdana" w:hAnsi="Verdana"/>
          <w:sz w:val="20"/>
          <w:szCs w:val="20"/>
          <w:lang w:val="en-GB"/>
        </w:rPr>
        <w:t>,</w:t>
      </w:r>
      <w:r w:rsidRPr="003F70A1">
        <w:rPr>
          <w:rFonts w:ascii="Verdana" w:hAnsi="Verdana"/>
          <w:sz w:val="20"/>
          <w:szCs w:val="20"/>
          <w:lang w:val="en-GB"/>
        </w:rPr>
        <w:t xml:space="preserve"> Nordic Shipholding, Triton and the banks reached an agreement on the divestment of Nordic Shipholding's chemical tanker operations. </w:t>
      </w:r>
    </w:p>
    <w:p w:rsidR="003F70A1" w:rsidRPr="003F70A1" w:rsidRDefault="003F70A1" w:rsidP="003F70A1">
      <w:pPr>
        <w:jc w:val="both"/>
        <w:rPr>
          <w:rFonts w:ascii="Verdana" w:hAnsi="Verdana"/>
          <w:sz w:val="20"/>
          <w:szCs w:val="20"/>
          <w:lang w:val="en-GB"/>
        </w:rPr>
      </w:pPr>
      <w:r w:rsidRPr="003F70A1">
        <w:rPr>
          <w:rFonts w:ascii="Verdana" w:hAnsi="Verdana"/>
          <w:sz w:val="20"/>
          <w:szCs w:val="20"/>
          <w:lang w:val="en-GB"/>
        </w:rPr>
        <w:t xml:space="preserve">The divestiture of the chemical tanker activities comprised of a sale of all nine owned chemical tanker vessels, related bank debt and working capital, the six chartered-in chemical vessels, all contracts of affreightment and the organisation of Nordic Shipholding, encompassing commercial and technical management, administration and corporate management. </w:t>
      </w:r>
    </w:p>
    <w:p w:rsidR="003F70A1" w:rsidRPr="003F70A1" w:rsidRDefault="003F70A1" w:rsidP="003F70A1">
      <w:pPr>
        <w:jc w:val="both"/>
        <w:rPr>
          <w:rFonts w:ascii="Verdana" w:hAnsi="Verdana"/>
          <w:sz w:val="20"/>
          <w:szCs w:val="20"/>
          <w:lang w:val="en-GB"/>
        </w:rPr>
      </w:pPr>
      <w:r w:rsidRPr="003F70A1">
        <w:rPr>
          <w:rFonts w:ascii="Verdana" w:hAnsi="Verdana"/>
          <w:sz w:val="20"/>
          <w:szCs w:val="20"/>
          <w:lang w:val="en-GB"/>
        </w:rPr>
        <w:t>The p</w:t>
      </w:r>
      <w:r>
        <w:rPr>
          <w:rFonts w:ascii="Verdana" w:hAnsi="Verdana"/>
          <w:sz w:val="20"/>
          <w:szCs w:val="20"/>
          <w:lang w:val="en-GB"/>
        </w:rPr>
        <w:t>urchase price was agreed at USD</w:t>
      </w:r>
      <w:r w:rsidR="001035E3">
        <w:rPr>
          <w:rFonts w:ascii="Verdana" w:hAnsi="Verdana"/>
          <w:sz w:val="20"/>
          <w:szCs w:val="20"/>
          <w:lang w:val="en-GB"/>
        </w:rPr>
        <w:t xml:space="preserve"> </w:t>
      </w:r>
      <w:r w:rsidRPr="003F70A1">
        <w:rPr>
          <w:rFonts w:ascii="Verdana" w:hAnsi="Verdana"/>
          <w:sz w:val="20"/>
          <w:szCs w:val="20"/>
          <w:lang w:val="en-GB"/>
        </w:rPr>
        <w:t>30</w:t>
      </w:r>
      <w:r w:rsidR="001035E3">
        <w:rPr>
          <w:rFonts w:ascii="Verdana" w:hAnsi="Verdana"/>
          <w:sz w:val="20"/>
          <w:szCs w:val="20"/>
          <w:lang w:val="en-GB"/>
        </w:rPr>
        <w:t>.0</w:t>
      </w:r>
      <w:r w:rsidRPr="003F70A1">
        <w:rPr>
          <w:rFonts w:ascii="Verdana" w:hAnsi="Verdana"/>
          <w:sz w:val="20"/>
          <w:szCs w:val="20"/>
          <w:lang w:val="en-GB"/>
        </w:rPr>
        <w:t xml:space="preserve"> million, of which the cash payment</w:t>
      </w:r>
      <w:r>
        <w:rPr>
          <w:rFonts w:ascii="Verdana" w:hAnsi="Verdana"/>
          <w:sz w:val="20"/>
          <w:szCs w:val="20"/>
          <w:lang w:val="en-GB"/>
        </w:rPr>
        <w:t xml:space="preserve"> of USD</w:t>
      </w:r>
      <w:r w:rsidR="001035E3">
        <w:rPr>
          <w:rFonts w:ascii="Verdana" w:hAnsi="Verdana"/>
          <w:sz w:val="20"/>
          <w:szCs w:val="20"/>
          <w:lang w:val="en-GB"/>
        </w:rPr>
        <w:t xml:space="preserve"> </w:t>
      </w:r>
      <w:r w:rsidRPr="003F70A1">
        <w:rPr>
          <w:rFonts w:ascii="Verdana" w:hAnsi="Verdana"/>
          <w:sz w:val="20"/>
          <w:szCs w:val="20"/>
          <w:lang w:val="en-GB"/>
        </w:rPr>
        <w:t>10</w:t>
      </w:r>
      <w:r w:rsidR="001035E3">
        <w:rPr>
          <w:rFonts w:ascii="Verdana" w:hAnsi="Verdana"/>
          <w:sz w:val="20"/>
          <w:szCs w:val="20"/>
          <w:lang w:val="en-GB"/>
        </w:rPr>
        <w:t>.0</w:t>
      </w:r>
      <w:r w:rsidRPr="003F70A1">
        <w:rPr>
          <w:rFonts w:ascii="Verdana" w:hAnsi="Verdana"/>
          <w:sz w:val="20"/>
          <w:szCs w:val="20"/>
          <w:lang w:val="en-GB"/>
        </w:rPr>
        <w:t xml:space="preserve"> million was applied towards reducing the bank debt in the six product tankers remaining in the listed entity, while the remaining two-thirds was lent to the Company acquiring the nine owned chemical tanker vessels, as a vendor note. </w:t>
      </w:r>
    </w:p>
    <w:p w:rsidR="003F70A1" w:rsidRPr="003F70A1" w:rsidRDefault="003F70A1" w:rsidP="003F70A1">
      <w:pPr>
        <w:jc w:val="both"/>
        <w:rPr>
          <w:rFonts w:ascii="Verdana" w:hAnsi="Verdana"/>
          <w:sz w:val="20"/>
          <w:szCs w:val="20"/>
          <w:lang w:val="en-GB"/>
        </w:rPr>
      </w:pPr>
      <w:r w:rsidRPr="003F70A1">
        <w:rPr>
          <w:rFonts w:ascii="Verdana" w:hAnsi="Verdana"/>
          <w:sz w:val="20"/>
          <w:szCs w:val="20"/>
          <w:lang w:val="en-GB"/>
        </w:rPr>
        <w:t>The agreement was executed on 30 April 2012.</w:t>
      </w:r>
    </w:p>
    <w:p w:rsidR="003F70A1" w:rsidRDefault="00480E7C" w:rsidP="000913ED">
      <w:pPr>
        <w:rPr>
          <w:lang w:val="en-GB"/>
        </w:rPr>
      </w:pPr>
      <w:r w:rsidRPr="00480E7C">
        <w:rPr>
          <w:noProof/>
          <w:lang w:val="da-DK" w:eastAsia="da-DK"/>
        </w:rPr>
        <w:drawing>
          <wp:inline distT="0" distB="0" distL="0" distR="0">
            <wp:extent cx="6300470" cy="2827361"/>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2827361"/>
                    </a:xfrm>
                    <a:prstGeom prst="rect">
                      <a:avLst/>
                    </a:prstGeom>
                    <a:noFill/>
                    <a:ln>
                      <a:noFill/>
                    </a:ln>
                  </pic:spPr>
                </pic:pic>
              </a:graphicData>
            </a:graphic>
          </wp:inline>
        </w:drawing>
      </w:r>
    </w:p>
    <w:p w:rsidR="003F70A1" w:rsidRPr="003F70A1" w:rsidRDefault="003F70A1" w:rsidP="003F70A1">
      <w:pPr>
        <w:jc w:val="both"/>
        <w:rPr>
          <w:rFonts w:ascii="Verdana" w:hAnsi="Verdana"/>
          <w:sz w:val="20"/>
          <w:szCs w:val="20"/>
          <w:lang w:val="en-GB"/>
        </w:rPr>
      </w:pPr>
      <w:r w:rsidRPr="003F70A1">
        <w:rPr>
          <w:rFonts w:ascii="Verdana" w:hAnsi="Verdana"/>
          <w:sz w:val="20"/>
          <w:szCs w:val="20"/>
          <w:lang w:val="en-GB"/>
        </w:rPr>
        <w:t>No assets were held for sale at 31 December 2013 (2012: USD 0 million)</w:t>
      </w:r>
      <w:r>
        <w:rPr>
          <w:rFonts w:ascii="Verdana" w:hAnsi="Verdana"/>
          <w:sz w:val="20"/>
          <w:szCs w:val="20"/>
          <w:lang w:val="en-GB"/>
        </w:rPr>
        <w:t>. T</w:t>
      </w:r>
      <w:r w:rsidRPr="003F70A1">
        <w:rPr>
          <w:rFonts w:ascii="Verdana" w:hAnsi="Verdana"/>
          <w:sz w:val="20"/>
          <w:szCs w:val="20"/>
          <w:lang w:val="en-GB"/>
        </w:rPr>
        <w:t>he agreement for divestment of the chemical tanker activities was entered on 27 March 2012 and executed on 30 April 2012.</w:t>
      </w:r>
    </w:p>
    <w:p w:rsidR="003F70A1" w:rsidRDefault="003F70A1" w:rsidP="000913ED">
      <w:pPr>
        <w:rPr>
          <w:lang w:val="en-GB"/>
        </w:rPr>
      </w:pPr>
    </w:p>
    <w:p w:rsidR="00680D51" w:rsidRDefault="00680D51"/>
    <w:p w:rsidR="00E500F9" w:rsidRDefault="00E500F9"/>
    <w:p w:rsidR="00026C03" w:rsidRDefault="00026C03">
      <w:r>
        <w:br w:type="page"/>
      </w:r>
    </w:p>
    <w:p w:rsidR="003F70A1" w:rsidRDefault="003F70A1" w:rsidP="003F70A1">
      <w:pPr>
        <w:pStyle w:val="ListParagraph"/>
        <w:spacing w:after="200" w:line="276" w:lineRule="auto"/>
        <w:ind w:hanging="72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lastRenderedPageBreak/>
        <w:t xml:space="preserve">4. </w:t>
      </w:r>
      <w:r>
        <w:rPr>
          <w:rStyle w:val="Strong"/>
          <w:rFonts w:ascii="Verdana" w:hAnsi="Verdana" w:cstheme="minorHAnsi"/>
          <w:color w:val="95B3D7" w:themeColor="accent1" w:themeTint="99"/>
          <w:sz w:val="20"/>
          <w:szCs w:val="20"/>
        </w:rPr>
        <w:tab/>
        <w:t>Staff costs</w:t>
      </w:r>
    </w:p>
    <w:p w:rsidR="003F70A1" w:rsidRDefault="00C03F55" w:rsidP="00C03F55">
      <w:pPr>
        <w:pStyle w:val="ListParagraph"/>
        <w:spacing w:after="200" w:line="276" w:lineRule="auto"/>
        <w:ind w:left="0"/>
        <w:jc w:val="both"/>
      </w:pPr>
      <w:r w:rsidRPr="00C03F55">
        <w:t xml:space="preserve"> </w:t>
      </w:r>
      <w:r w:rsidR="004D0BE6" w:rsidRPr="004D0BE6">
        <w:rPr>
          <w:noProof/>
          <w:lang w:val="da-DK" w:eastAsia="da-DK"/>
        </w:rPr>
        <w:drawing>
          <wp:inline distT="0" distB="0" distL="0" distR="0">
            <wp:extent cx="6300470" cy="3356422"/>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470" cy="3356422"/>
                    </a:xfrm>
                    <a:prstGeom prst="rect">
                      <a:avLst/>
                    </a:prstGeom>
                    <a:noFill/>
                    <a:ln>
                      <a:noFill/>
                    </a:ln>
                  </pic:spPr>
                </pic:pic>
              </a:graphicData>
            </a:graphic>
          </wp:inline>
        </w:drawing>
      </w:r>
    </w:p>
    <w:p w:rsidR="003F70A1" w:rsidRDefault="003F70A1" w:rsidP="003F70A1">
      <w:pPr>
        <w:pStyle w:val="ListParagraph"/>
        <w:spacing w:after="200" w:line="276" w:lineRule="auto"/>
        <w:ind w:hanging="720"/>
        <w:jc w:val="both"/>
      </w:pPr>
    </w:p>
    <w:p w:rsidR="003F70A1" w:rsidRPr="003F70A1" w:rsidRDefault="003F70A1" w:rsidP="003F70A1">
      <w:pPr>
        <w:pStyle w:val="ListParagraph"/>
        <w:spacing w:after="200" w:line="276" w:lineRule="auto"/>
        <w:ind w:left="0"/>
        <w:jc w:val="both"/>
        <w:rPr>
          <w:rFonts w:ascii="Verdana" w:hAnsi="Verdana"/>
          <w:sz w:val="20"/>
          <w:szCs w:val="20"/>
        </w:rPr>
      </w:pPr>
      <w:r w:rsidRPr="003F70A1">
        <w:rPr>
          <w:rFonts w:ascii="Verdana" w:hAnsi="Verdana"/>
          <w:sz w:val="20"/>
          <w:szCs w:val="20"/>
        </w:rPr>
        <w:t>Prior to the rest</w:t>
      </w:r>
      <w:r>
        <w:rPr>
          <w:rFonts w:ascii="Verdana" w:hAnsi="Verdana"/>
          <w:sz w:val="20"/>
          <w:szCs w:val="20"/>
        </w:rPr>
        <w:t>r</w:t>
      </w:r>
      <w:r w:rsidRPr="003F70A1">
        <w:rPr>
          <w:rFonts w:ascii="Verdana" w:hAnsi="Verdana"/>
          <w:sz w:val="20"/>
          <w:szCs w:val="20"/>
        </w:rPr>
        <w:t xml:space="preserve">ucturing on 19 December 2013, Nordic Shipholding A/S was in a management contract with Hafnia Tankers (formerly </w:t>
      </w:r>
      <w:r w:rsidR="00B26F40" w:rsidRPr="00195ED7">
        <w:rPr>
          <w:rFonts w:ascii="Verdana" w:hAnsi="Verdana" w:cs="Arial"/>
          <w:sz w:val="20"/>
          <w:szCs w:val="20"/>
          <w:lang w:val="en"/>
        </w:rPr>
        <w:t>Tankers Inc.</w:t>
      </w:r>
      <w:r w:rsidR="00B26F40">
        <w:rPr>
          <w:rFonts w:ascii="Verdana" w:hAnsi="Verdana" w:cs="Arial"/>
          <w:sz w:val="20"/>
          <w:szCs w:val="20"/>
          <w:lang w:val="en"/>
        </w:rPr>
        <w:t xml:space="preserve"> Holdings A/S)</w:t>
      </w:r>
      <w:r w:rsidR="00B26F40" w:rsidRPr="003F70A1">
        <w:rPr>
          <w:rFonts w:ascii="Verdana" w:hAnsi="Verdana"/>
          <w:sz w:val="20"/>
          <w:szCs w:val="20"/>
        </w:rPr>
        <w:t xml:space="preserve"> </w:t>
      </w:r>
      <w:r w:rsidRPr="003F70A1">
        <w:rPr>
          <w:rFonts w:ascii="Verdana" w:hAnsi="Verdana"/>
          <w:sz w:val="20"/>
          <w:szCs w:val="20"/>
        </w:rPr>
        <w:t>for the day to day management and operation of the Company. As part of the management agreement, Hafnia Tankers provides a CEO for the Company. The CEO is the only employee in the Company and is not remunerated.</w:t>
      </w:r>
    </w:p>
    <w:p w:rsidR="003F70A1" w:rsidRPr="003F70A1" w:rsidRDefault="003F70A1" w:rsidP="003F70A1">
      <w:pPr>
        <w:pStyle w:val="ListParagraph"/>
        <w:spacing w:after="200" w:line="276" w:lineRule="auto"/>
        <w:ind w:hanging="720"/>
        <w:jc w:val="both"/>
        <w:rPr>
          <w:rFonts w:ascii="Verdana" w:hAnsi="Verdana"/>
          <w:sz w:val="20"/>
          <w:szCs w:val="20"/>
        </w:rPr>
      </w:pPr>
    </w:p>
    <w:p w:rsidR="003F70A1" w:rsidRPr="003F70A1" w:rsidRDefault="003F70A1" w:rsidP="003F70A1">
      <w:pPr>
        <w:pStyle w:val="ListParagraph"/>
        <w:spacing w:after="200" w:line="276" w:lineRule="auto"/>
        <w:ind w:left="0"/>
        <w:jc w:val="both"/>
        <w:rPr>
          <w:rFonts w:ascii="Verdana" w:hAnsi="Verdana"/>
          <w:sz w:val="20"/>
          <w:szCs w:val="20"/>
        </w:rPr>
      </w:pPr>
      <w:r w:rsidRPr="003F70A1">
        <w:rPr>
          <w:rFonts w:ascii="Verdana" w:hAnsi="Verdana"/>
          <w:sz w:val="20"/>
          <w:szCs w:val="20"/>
        </w:rPr>
        <w:t>Upon the completion of the restructuring, the Company entered into a new corporate management agreement with Transport Capital Pte. Ltd., who has taken over the corporate management responsibilities from Hafnia Tankers. Philip Clausius has also succeeded Thomas Andersen as CEO of the Company with effect from 2 January 2014.</w:t>
      </w:r>
    </w:p>
    <w:p w:rsidR="003F70A1" w:rsidRPr="003F70A1" w:rsidRDefault="003F70A1" w:rsidP="003F70A1">
      <w:pPr>
        <w:pStyle w:val="ListParagraph"/>
        <w:spacing w:after="200" w:line="276" w:lineRule="auto"/>
        <w:ind w:hanging="720"/>
        <w:jc w:val="both"/>
        <w:rPr>
          <w:rFonts w:ascii="Verdana" w:hAnsi="Verdana"/>
          <w:sz w:val="20"/>
          <w:szCs w:val="20"/>
        </w:rPr>
      </w:pPr>
    </w:p>
    <w:p w:rsidR="003F70A1" w:rsidRDefault="003F70A1" w:rsidP="00455B0C">
      <w:pPr>
        <w:pStyle w:val="ListParagraph"/>
        <w:spacing w:line="276" w:lineRule="auto"/>
        <w:ind w:hanging="720"/>
        <w:jc w:val="both"/>
        <w:rPr>
          <w:rFonts w:ascii="Verdana" w:hAnsi="Verdana"/>
          <w:sz w:val="20"/>
          <w:szCs w:val="20"/>
        </w:rPr>
      </w:pPr>
      <w:r w:rsidRPr="003F70A1">
        <w:rPr>
          <w:rFonts w:ascii="Verdana" w:hAnsi="Verdana"/>
          <w:sz w:val="20"/>
          <w:szCs w:val="20"/>
        </w:rPr>
        <w:t>For information related to share-based pay</w:t>
      </w:r>
      <w:r w:rsidR="005658DE">
        <w:rPr>
          <w:rFonts w:ascii="Verdana" w:hAnsi="Verdana"/>
          <w:sz w:val="20"/>
          <w:szCs w:val="20"/>
        </w:rPr>
        <w:t>ment, please refer to Note 25</w:t>
      </w:r>
      <w:r w:rsidRPr="003F70A1">
        <w:rPr>
          <w:rFonts w:ascii="Verdana" w:hAnsi="Verdana"/>
          <w:sz w:val="20"/>
          <w:szCs w:val="20"/>
        </w:rPr>
        <w:t>.</w:t>
      </w:r>
    </w:p>
    <w:p w:rsidR="00455B0C" w:rsidRDefault="00455B0C" w:rsidP="00455B0C">
      <w:pPr>
        <w:pStyle w:val="ListParagraph"/>
        <w:spacing w:line="276" w:lineRule="auto"/>
        <w:ind w:hanging="720"/>
        <w:jc w:val="both"/>
        <w:rPr>
          <w:rFonts w:ascii="Verdana" w:hAnsi="Verdana"/>
          <w:sz w:val="20"/>
          <w:szCs w:val="20"/>
        </w:rPr>
      </w:pPr>
    </w:p>
    <w:p w:rsidR="00455B0C" w:rsidRPr="003F70A1" w:rsidRDefault="00455B0C" w:rsidP="00455B0C">
      <w:pPr>
        <w:pStyle w:val="ListParagraph"/>
        <w:spacing w:line="276" w:lineRule="auto"/>
        <w:ind w:hanging="720"/>
        <w:jc w:val="both"/>
        <w:rPr>
          <w:rFonts w:ascii="Verdana" w:hAnsi="Verdana"/>
          <w:sz w:val="20"/>
          <w:szCs w:val="20"/>
        </w:rPr>
      </w:pPr>
    </w:p>
    <w:p w:rsidR="003F70A1" w:rsidRDefault="003F70A1" w:rsidP="00455B0C">
      <w:pPr>
        <w:spacing w:after="0"/>
      </w:pPr>
      <w:r>
        <w:rPr>
          <w:rStyle w:val="Strong"/>
          <w:rFonts w:ascii="Verdana" w:hAnsi="Verdana" w:cstheme="minorHAnsi"/>
          <w:color w:val="95B3D7" w:themeColor="accent1" w:themeTint="99"/>
          <w:sz w:val="20"/>
          <w:szCs w:val="20"/>
        </w:rPr>
        <w:t xml:space="preserve">5. </w:t>
      </w:r>
      <w:r>
        <w:rPr>
          <w:rStyle w:val="Strong"/>
          <w:rFonts w:ascii="Verdana" w:hAnsi="Verdana" w:cstheme="minorHAnsi"/>
          <w:color w:val="95B3D7" w:themeColor="accent1" w:themeTint="99"/>
          <w:sz w:val="20"/>
          <w:szCs w:val="20"/>
        </w:rPr>
        <w:tab/>
        <w:t>Auditor fee</w:t>
      </w:r>
    </w:p>
    <w:p w:rsidR="003F70A1" w:rsidRDefault="004D0BE6">
      <w:r w:rsidRPr="004D0BE6">
        <w:rPr>
          <w:noProof/>
          <w:lang w:val="da-DK" w:eastAsia="da-DK"/>
        </w:rPr>
        <w:drawing>
          <wp:inline distT="0" distB="0" distL="0" distR="0">
            <wp:extent cx="6300470" cy="1220628"/>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0470" cy="1220628"/>
                    </a:xfrm>
                    <a:prstGeom prst="rect">
                      <a:avLst/>
                    </a:prstGeom>
                    <a:noFill/>
                    <a:ln>
                      <a:noFill/>
                    </a:ln>
                  </pic:spPr>
                </pic:pic>
              </a:graphicData>
            </a:graphic>
          </wp:inline>
        </w:drawing>
      </w:r>
    </w:p>
    <w:p w:rsidR="003F70A1" w:rsidRPr="00E324EB" w:rsidRDefault="003F70A1">
      <w:pPr>
        <w:rPr>
          <w:rFonts w:ascii="Verdana" w:hAnsi="Verdana"/>
          <w:sz w:val="20"/>
          <w:szCs w:val="20"/>
        </w:rPr>
      </w:pPr>
      <w:r w:rsidRPr="00E324EB">
        <w:rPr>
          <w:rFonts w:ascii="Verdana" w:hAnsi="Verdana"/>
          <w:sz w:val="20"/>
          <w:szCs w:val="20"/>
        </w:rPr>
        <w:t xml:space="preserve">The </w:t>
      </w:r>
      <w:r w:rsidR="003D257F">
        <w:rPr>
          <w:rFonts w:ascii="Verdana" w:hAnsi="Verdana"/>
          <w:sz w:val="20"/>
          <w:szCs w:val="20"/>
        </w:rPr>
        <w:t>above is for the corporate auditor,</w:t>
      </w:r>
      <w:r w:rsidRPr="00E324EB">
        <w:rPr>
          <w:rFonts w:ascii="Verdana" w:hAnsi="Verdana"/>
          <w:sz w:val="20"/>
          <w:szCs w:val="20"/>
        </w:rPr>
        <w:t xml:space="preserve"> PricewaterhouseCoopers.</w:t>
      </w:r>
    </w:p>
    <w:p w:rsidR="00661F98" w:rsidRDefault="00661F98"/>
    <w:p w:rsidR="00455B0C" w:rsidRDefault="00455B0C"/>
    <w:p w:rsidR="00455B0C" w:rsidRDefault="00455B0C"/>
    <w:p w:rsidR="000C30BB" w:rsidRDefault="000C30BB"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p>
    <w:p w:rsidR="00E324EB" w:rsidRDefault="00E324EB"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6. </w:t>
      </w:r>
      <w:r>
        <w:rPr>
          <w:rStyle w:val="Strong"/>
          <w:rFonts w:ascii="Verdana" w:hAnsi="Verdana" w:cstheme="minorHAnsi"/>
          <w:color w:val="95B3D7" w:themeColor="accent1" w:themeTint="99"/>
          <w:sz w:val="20"/>
          <w:szCs w:val="20"/>
        </w:rPr>
        <w:tab/>
        <w:t>Depreciation and write-down</w:t>
      </w:r>
    </w:p>
    <w:p w:rsidR="00E324EB" w:rsidRDefault="004B3605" w:rsidP="00E324EB">
      <w:pPr>
        <w:pStyle w:val="ListParagraph"/>
        <w:spacing w:after="200" w:line="276" w:lineRule="auto"/>
        <w:ind w:hanging="720"/>
        <w:jc w:val="both"/>
      </w:pPr>
      <w:r w:rsidRPr="004B3605">
        <w:rPr>
          <w:noProof/>
          <w:lang w:val="da-DK" w:eastAsia="da-DK"/>
        </w:rPr>
        <w:drawing>
          <wp:inline distT="0" distB="0" distL="0" distR="0" wp14:anchorId="1F66B95E" wp14:editId="42E21FBE">
            <wp:extent cx="6511925" cy="1760423"/>
            <wp:effectExtent l="0" t="0" r="317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11925" cy="1760423"/>
                    </a:xfrm>
                    <a:prstGeom prst="rect">
                      <a:avLst/>
                    </a:prstGeom>
                    <a:noFill/>
                    <a:ln>
                      <a:noFill/>
                    </a:ln>
                  </pic:spPr>
                </pic:pic>
              </a:graphicData>
            </a:graphic>
          </wp:inline>
        </w:drawing>
      </w:r>
    </w:p>
    <w:p w:rsidR="00E324EB" w:rsidRDefault="00E324EB" w:rsidP="00E324EB">
      <w:pPr>
        <w:pStyle w:val="ListParagraph"/>
        <w:spacing w:after="200" w:line="276" w:lineRule="auto"/>
        <w:ind w:hanging="720"/>
        <w:jc w:val="both"/>
      </w:pPr>
    </w:p>
    <w:p w:rsidR="00E324EB" w:rsidRPr="00E324EB" w:rsidRDefault="00E324EB" w:rsidP="00E324EB">
      <w:pPr>
        <w:pStyle w:val="ListParagraph"/>
        <w:spacing w:after="200" w:line="276" w:lineRule="auto"/>
        <w:ind w:hanging="720"/>
        <w:jc w:val="both"/>
        <w:rPr>
          <w:rFonts w:ascii="Verdana" w:hAnsi="Verdana"/>
          <w:b/>
          <w:sz w:val="20"/>
          <w:szCs w:val="20"/>
        </w:rPr>
      </w:pPr>
      <w:r w:rsidRPr="00E324EB">
        <w:rPr>
          <w:rFonts w:ascii="Verdana" w:hAnsi="Verdana"/>
          <w:b/>
          <w:sz w:val="20"/>
          <w:szCs w:val="20"/>
        </w:rPr>
        <w:t>Impairment test</w:t>
      </w:r>
    </w:p>
    <w:p w:rsidR="00015D2C" w:rsidRPr="00E324EB" w:rsidRDefault="00E324EB" w:rsidP="00E324EB">
      <w:pPr>
        <w:pStyle w:val="ListParagraph"/>
        <w:spacing w:after="200" w:line="276" w:lineRule="auto"/>
        <w:ind w:left="0"/>
        <w:jc w:val="both"/>
        <w:rPr>
          <w:rFonts w:ascii="Verdana" w:hAnsi="Verdana"/>
          <w:sz w:val="20"/>
          <w:szCs w:val="20"/>
        </w:rPr>
      </w:pPr>
      <w:r w:rsidRPr="00E324EB">
        <w:rPr>
          <w:rFonts w:ascii="Verdana" w:hAnsi="Verdana"/>
          <w:sz w:val="20"/>
          <w:szCs w:val="20"/>
        </w:rPr>
        <w:t xml:space="preserve">In accordance with IAS 36, intangible assets </w:t>
      </w:r>
      <w:r w:rsidR="00A17FEA">
        <w:rPr>
          <w:rFonts w:ascii="Verdana" w:hAnsi="Verdana"/>
          <w:sz w:val="20"/>
          <w:szCs w:val="20"/>
        </w:rPr>
        <w:t xml:space="preserve">with indefinite lives </w:t>
      </w:r>
      <w:r w:rsidRPr="00E324EB">
        <w:rPr>
          <w:rFonts w:ascii="Verdana" w:hAnsi="Verdana"/>
          <w:sz w:val="20"/>
          <w:szCs w:val="20"/>
        </w:rPr>
        <w:t>are tested for impairment at least annually and tangible assets are tested if there are indications of impairment. Any impairment tests are performed in accordance with IAS 36.</w:t>
      </w:r>
    </w:p>
    <w:p w:rsidR="00E324EB" w:rsidRPr="00E324EB" w:rsidRDefault="00E324EB" w:rsidP="00E324EB">
      <w:pPr>
        <w:pStyle w:val="ListParagraph"/>
        <w:spacing w:after="200" w:line="276" w:lineRule="auto"/>
        <w:ind w:left="0"/>
        <w:jc w:val="both"/>
        <w:rPr>
          <w:rFonts w:ascii="Verdana" w:hAnsi="Verdana"/>
          <w:sz w:val="20"/>
          <w:szCs w:val="20"/>
        </w:rPr>
      </w:pPr>
    </w:p>
    <w:p w:rsidR="00E324EB" w:rsidRPr="00E324EB" w:rsidRDefault="00E324EB" w:rsidP="00E324EB">
      <w:pPr>
        <w:pStyle w:val="ListParagraph"/>
        <w:spacing w:line="276" w:lineRule="auto"/>
        <w:ind w:left="0"/>
        <w:jc w:val="both"/>
        <w:rPr>
          <w:rFonts w:ascii="Verdana" w:hAnsi="Verdana"/>
          <w:sz w:val="20"/>
          <w:szCs w:val="20"/>
        </w:rPr>
      </w:pPr>
      <w:r w:rsidRPr="00E324EB">
        <w:rPr>
          <w:rFonts w:ascii="Verdana" w:hAnsi="Verdana"/>
          <w:b/>
          <w:sz w:val="20"/>
          <w:szCs w:val="20"/>
        </w:rPr>
        <w:t>Impairment assessment of tangible assets - Vessels and dry-docking</w:t>
      </w:r>
    </w:p>
    <w:p w:rsidR="00E324EB" w:rsidRDefault="00E324EB" w:rsidP="00E324EB">
      <w:pPr>
        <w:pStyle w:val="ListParagraph"/>
        <w:spacing w:line="276" w:lineRule="auto"/>
        <w:ind w:left="0"/>
        <w:jc w:val="both"/>
        <w:rPr>
          <w:rFonts w:ascii="Verdana" w:hAnsi="Verdana"/>
          <w:sz w:val="20"/>
          <w:szCs w:val="20"/>
        </w:rPr>
      </w:pPr>
      <w:r w:rsidRPr="00E324EB">
        <w:rPr>
          <w:rFonts w:ascii="Verdana" w:hAnsi="Verdana"/>
          <w:sz w:val="20"/>
          <w:szCs w:val="20"/>
        </w:rPr>
        <w:t xml:space="preserve">The management assessed the performance of the five vessels (Nordic Ruth, Nordic Pia, Nordic Hanne, Nordic Agnetha and Amy) together as they are managed </w:t>
      </w:r>
      <w:r w:rsidR="00523203">
        <w:rPr>
          <w:rFonts w:ascii="Verdana" w:hAnsi="Verdana"/>
          <w:sz w:val="20"/>
          <w:szCs w:val="20"/>
        </w:rPr>
        <w:t>by the same pool manager, Handyt</w:t>
      </w:r>
      <w:r w:rsidRPr="00E324EB">
        <w:rPr>
          <w:rFonts w:ascii="Verdana" w:hAnsi="Verdana"/>
          <w:sz w:val="20"/>
          <w:szCs w:val="20"/>
        </w:rPr>
        <w:t>ankers p</w:t>
      </w:r>
      <w:r w:rsidR="00523203">
        <w:rPr>
          <w:rFonts w:ascii="Verdana" w:hAnsi="Verdana"/>
          <w:sz w:val="20"/>
          <w:szCs w:val="20"/>
        </w:rPr>
        <w:t>ool ('Handyt</w:t>
      </w:r>
      <w:r w:rsidRPr="00E324EB">
        <w:rPr>
          <w:rFonts w:ascii="Verdana" w:hAnsi="Verdana"/>
          <w:sz w:val="20"/>
          <w:szCs w:val="20"/>
        </w:rPr>
        <w:t>anker</w:t>
      </w:r>
      <w:r w:rsidR="00B26F40">
        <w:rPr>
          <w:rFonts w:ascii="Verdana" w:hAnsi="Verdana"/>
          <w:sz w:val="20"/>
          <w:szCs w:val="20"/>
        </w:rPr>
        <w:t>s</w:t>
      </w:r>
      <w:r w:rsidRPr="00E324EB">
        <w:rPr>
          <w:rFonts w:ascii="Verdana" w:hAnsi="Verdana"/>
          <w:sz w:val="20"/>
          <w:szCs w:val="20"/>
        </w:rPr>
        <w:t xml:space="preserve"> vessels') whereas Nordic Anne is managed by Straits Tanker pool.  Hence, for impairment assessment, the Company’s policy is to evaluat</w:t>
      </w:r>
      <w:r w:rsidR="00FF56FA">
        <w:rPr>
          <w:rFonts w:ascii="Verdana" w:hAnsi="Verdana"/>
          <w:sz w:val="20"/>
          <w:szCs w:val="20"/>
        </w:rPr>
        <w:t>e the carrying amount of Handyt</w:t>
      </w:r>
      <w:r w:rsidRPr="00E324EB">
        <w:rPr>
          <w:rFonts w:ascii="Verdana" w:hAnsi="Verdana"/>
          <w:sz w:val="20"/>
          <w:szCs w:val="20"/>
        </w:rPr>
        <w:t>ankers vessels as one cash-generating unit ('CGU') and Nordic Anne as another CGU to determine whether events have occurred that would require an adjustment to the recognised value of the vessels.</w:t>
      </w:r>
    </w:p>
    <w:p w:rsidR="00E324EB" w:rsidRDefault="00E324EB" w:rsidP="00E324EB">
      <w:pPr>
        <w:pStyle w:val="ListParagraph"/>
        <w:spacing w:line="276" w:lineRule="auto"/>
        <w:ind w:left="0"/>
        <w:jc w:val="both"/>
        <w:rPr>
          <w:rFonts w:ascii="Verdana" w:hAnsi="Verdana"/>
          <w:sz w:val="20"/>
          <w:szCs w:val="20"/>
        </w:rPr>
      </w:pPr>
    </w:p>
    <w:p w:rsidR="00523203" w:rsidRDefault="00E324EB" w:rsidP="00E324EB">
      <w:pPr>
        <w:pStyle w:val="ListParagraph"/>
        <w:spacing w:after="200" w:line="276" w:lineRule="auto"/>
        <w:ind w:left="0"/>
        <w:jc w:val="both"/>
        <w:rPr>
          <w:rFonts w:ascii="Verdana" w:hAnsi="Verdana"/>
          <w:sz w:val="20"/>
          <w:szCs w:val="20"/>
        </w:rPr>
      </w:pPr>
      <w:r w:rsidRPr="00E324EB">
        <w:rPr>
          <w:rFonts w:ascii="Verdana" w:hAnsi="Verdana"/>
          <w:sz w:val="20"/>
          <w:szCs w:val="20"/>
        </w:rPr>
        <w:t xml:space="preserve">According to Nordic Shipholding's accounting policies regarding impairment tests, a write-down is made to the higher of an estimated sale price less cost of sale or calculated net present value for each CGU. The estimated sale price is based on valuations from accredited independent shipbrokers. As the estimated sale price less cost of sale exceeded the carrying value of each CGU, management views that there is no necessity to compute the discounted cash flows from these CGUs in Year 2013. </w:t>
      </w:r>
    </w:p>
    <w:p w:rsidR="00523203" w:rsidRDefault="00523203" w:rsidP="00E324EB">
      <w:pPr>
        <w:pStyle w:val="ListParagraph"/>
        <w:spacing w:after="200" w:line="276" w:lineRule="auto"/>
        <w:ind w:left="0"/>
        <w:jc w:val="both"/>
        <w:rPr>
          <w:rFonts w:ascii="Verdana" w:hAnsi="Verdana"/>
          <w:sz w:val="20"/>
          <w:szCs w:val="20"/>
        </w:rPr>
      </w:pPr>
    </w:p>
    <w:p w:rsidR="00E324EB" w:rsidRPr="00E324EB" w:rsidRDefault="00E324EB" w:rsidP="00E324EB">
      <w:pPr>
        <w:pStyle w:val="ListParagraph"/>
        <w:spacing w:after="200" w:line="276" w:lineRule="auto"/>
        <w:ind w:left="0"/>
        <w:jc w:val="both"/>
        <w:rPr>
          <w:rFonts w:ascii="Verdana" w:hAnsi="Verdana"/>
          <w:sz w:val="20"/>
          <w:szCs w:val="20"/>
        </w:rPr>
      </w:pPr>
      <w:r w:rsidRPr="00E324EB">
        <w:rPr>
          <w:rFonts w:ascii="Verdana" w:hAnsi="Verdana"/>
          <w:sz w:val="20"/>
          <w:szCs w:val="20"/>
        </w:rPr>
        <w:t>In Year 2012, the calculated net present value is based upon expected development in freight rates, an increase in operating cost of 2% p.a. over the vessels' respective economical life, and a pre-tax discount rate of 9%. As the banks have the option to sell the vessels after the expiry of the 3-month moratorium period, the carrying amount of the vessels were written down to the broker valuations as at 31 December 2012.</w:t>
      </w:r>
    </w:p>
    <w:p w:rsidR="00E324EB" w:rsidRPr="00E324EB" w:rsidRDefault="00E324EB" w:rsidP="00E324EB">
      <w:pPr>
        <w:pStyle w:val="ListParagraph"/>
        <w:spacing w:after="200" w:line="276" w:lineRule="auto"/>
        <w:ind w:left="0"/>
        <w:jc w:val="both"/>
        <w:rPr>
          <w:rFonts w:ascii="Verdana" w:hAnsi="Verdana"/>
          <w:sz w:val="20"/>
          <w:szCs w:val="20"/>
        </w:rPr>
      </w:pPr>
    </w:p>
    <w:p w:rsidR="00E324EB" w:rsidRDefault="00E324EB" w:rsidP="00E324EB">
      <w:pPr>
        <w:pStyle w:val="ListParagraph"/>
        <w:spacing w:after="200" w:line="276" w:lineRule="auto"/>
        <w:ind w:left="0"/>
        <w:jc w:val="both"/>
        <w:rPr>
          <w:rFonts w:ascii="Verdana" w:hAnsi="Verdana"/>
          <w:sz w:val="20"/>
          <w:szCs w:val="20"/>
        </w:rPr>
      </w:pPr>
      <w:r w:rsidRPr="00E324EB">
        <w:rPr>
          <w:rFonts w:ascii="Verdana" w:hAnsi="Verdana"/>
          <w:sz w:val="20"/>
          <w:szCs w:val="20"/>
        </w:rPr>
        <w:t>Due to uncertainties on the Group’s financial situation in Year 2012, a write-down on the intangible assets of USD 2.0 million and a write-down on the tangible assets of USD 37.7 million was made. The net book value of the intangible assets is hereafter USD 0 million, whereas the tangible assets have been written down to USD 123</w:t>
      </w:r>
      <w:r w:rsidR="00426EBB">
        <w:rPr>
          <w:rFonts w:ascii="Verdana" w:hAnsi="Verdana"/>
          <w:sz w:val="20"/>
          <w:szCs w:val="20"/>
        </w:rPr>
        <w:t>.0</w:t>
      </w:r>
      <w:r w:rsidRPr="00E324EB">
        <w:rPr>
          <w:rFonts w:ascii="Verdana" w:hAnsi="Verdana"/>
          <w:sz w:val="20"/>
          <w:szCs w:val="20"/>
        </w:rPr>
        <w:t xml:space="preserve"> million based on the average of 3 broker valuations.</w:t>
      </w:r>
    </w:p>
    <w:p w:rsidR="00A17FEA" w:rsidRDefault="00A17FEA" w:rsidP="00A17FEA">
      <w:pPr>
        <w:pStyle w:val="ListParagraph"/>
        <w:spacing w:line="276" w:lineRule="auto"/>
        <w:ind w:left="0"/>
        <w:jc w:val="both"/>
        <w:rPr>
          <w:rFonts w:ascii="Verdana" w:hAnsi="Verdana"/>
          <w:sz w:val="20"/>
          <w:szCs w:val="20"/>
        </w:rPr>
      </w:pPr>
    </w:p>
    <w:p w:rsidR="00A17FEA" w:rsidRPr="00A17FEA" w:rsidRDefault="00A17FEA" w:rsidP="00A17FEA">
      <w:pPr>
        <w:spacing w:after="0"/>
        <w:jc w:val="both"/>
        <w:rPr>
          <w:rFonts w:ascii="Verdana" w:hAnsi="Verdana"/>
          <w:sz w:val="20"/>
          <w:szCs w:val="20"/>
        </w:rPr>
      </w:pPr>
      <w:r w:rsidRPr="00A17FEA">
        <w:rPr>
          <w:rFonts w:ascii="Verdana" w:hAnsi="Verdana"/>
          <w:sz w:val="20"/>
          <w:szCs w:val="20"/>
        </w:rPr>
        <w:t>Despite modest recovery and improvement in valuations between 31 December 2012 and 31 December 2013, the shipping environment is still uncertain. This assessment is based on the</w:t>
      </w:r>
      <w:r>
        <w:rPr>
          <w:rFonts w:ascii="Verdana" w:hAnsi="Verdana"/>
          <w:sz w:val="20"/>
          <w:szCs w:val="20"/>
        </w:rPr>
        <w:t xml:space="preserve"> </w:t>
      </w:r>
      <w:r w:rsidRPr="00A17FEA">
        <w:rPr>
          <w:rFonts w:ascii="Verdana" w:hAnsi="Verdana"/>
          <w:sz w:val="20"/>
          <w:szCs w:val="20"/>
        </w:rPr>
        <w:t>historic low levels</w:t>
      </w:r>
      <w:r>
        <w:rPr>
          <w:rFonts w:ascii="Verdana" w:hAnsi="Verdana"/>
          <w:sz w:val="20"/>
          <w:szCs w:val="20"/>
        </w:rPr>
        <w:t xml:space="preserve"> of</w:t>
      </w:r>
      <w:r w:rsidRPr="00A17FEA">
        <w:rPr>
          <w:rFonts w:ascii="Verdana" w:hAnsi="Verdana"/>
          <w:sz w:val="20"/>
          <w:szCs w:val="20"/>
        </w:rPr>
        <w:t xml:space="preserve"> freight rates and the historical volatility in the product tankers market. Although the non-current assets by nature are long-term investments, the current negative market conditions and short-term freight rate outlook means that the valuations obtained and impairment tests performed are associated with a high degree of uncertainty.</w:t>
      </w:r>
    </w:p>
    <w:p w:rsidR="00A17FEA" w:rsidRPr="00A17FEA" w:rsidRDefault="00A17FEA" w:rsidP="00A17FEA">
      <w:pPr>
        <w:spacing w:after="0"/>
        <w:jc w:val="both"/>
        <w:rPr>
          <w:rFonts w:ascii="Verdana" w:hAnsi="Verdana"/>
          <w:sz w:val="20"/>
          <w:szCs w:val="20"/>
        </w:rPr>
      </w:pPr>
      <w:r w:rsidRPr="00A17FEA">
        <w:rPr>
          <w:rFonts w:ascii="Verdana" w:hAnsi="Verdana"/>
          <w:sz w:val="20"/>
          <w:szCs w:val="20"/>
        </w:rPr>
        <w:lastRenderedPageBreak/>
        <w:t xml:space="preserve">The increase in valuations could be temporary and not sustainable. In view of the continued low freight rates and the uncertainties regarding the market development, </w:t>
      </w:r>
      <w:r>
        <w:rPr>
          <w:rFonts w:ascii="Verdana" w:hAnsi="Verdana"/>
          <w:sz w:val="20"/>
          <w:szCs w:val="20"/>
        </w:rPr>
        <w:t>m</w:t>
      </w:r>
      <w:r w:rsidRPr="00A17FEA">
        <w:rPr>
          <w:rFonts w:ascii="Verdana" w:hAnsi="Verdana"/>
          <w:sz w:val="20"/>
          <w:szCs w:val="20"/>
        </w:rPr>
        <w:t>anagement has assessed and decided not to write-back any portion of the impairment that was written-down in 2012.</w:t>
      </w:r>
    </w:p>
    <w:p w:rsidR="00426EBB" w:rsidRDefault="00426EBB" w:rsidP="00E324EB">
      <w:pPr>
        <w:pStyle w:val="ListParagraph"/>
        <w:spacing w:after="200" w:line="276" w:lineRule="auto"/>
        <w:ind w:left="0"/>
        <w:jc w:val="both"/>
        <w:rPr>
          <w:rFonts w:ascii="Verdana" w:hAnsi="Verdana"/>
          <w:sz w:val="20"/>
          <w:szCs w:val="20"/>
        </w:rPr>
      </w:pPr>
    </w:p>
    <w:p w:rsidR="00E324EB" w:rsidRDefault="00E324EB" w:rsidP="00E324EB">
      <w:pPr>
        <w:pStyle w:val="ListParagraph"/>
        <w:spacing w:after="200" w:line="276" w:lineRule="auto"/>
        <w:ind w:left="0"/>
        <w:jc w:val="both"/>
        <w:rPr>
          <w:rFonts w:ascii="Verdana" w:hAnsi="Verdana"/>
          <w:sz w:val="20"/>
          <w:szCs w:val="20"/>
        </w:rPr>
      </w:pPr>
    </w:p>
    <w:p w:rsidR="00E324EB" w:rsidRDefault="00E324EB"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7. </w:t>
      </w:r>
      <w:r>
        <w:rPr>
          <w:rStyle w:val="Strong"/>
          <w:rFonts w:ascii="Verdana" w:hAnsi="Verdana" w:cstheme="minorHAnsi"/>
          <w:color w:val="95B3D7" w:themeColor="accent1" w:themeTint="99"/>
          <w:sz w:val="20"/>
          <w:szCs w:val="20"/>
        </w:rPr>
        <w:tab/>
        <w:t>Write-down of investments in subsidiaries</w:t>
      </w:r>
    </w:p>
    <w:p w:rsidR="00E324EB" w:rsidRDefault="00E324EB"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p>
    <w:p w:rsidR="00E324EB" w:rsidRDefault="00467985" w:rsidP="00E324EB">
      <w:pPr>
        <w:pStyle w:val="ListParagraph"/>
        <w:spacing w:after="200" w:line="276" w:lineRule="auto"/>
        <w:ind w:hanging="720"/>
        <w:jc w:val="both"/>
        <w:rPr>
          <w:rFonts w:ascii="Verdana" w:hAnsi="Verdana"/>
          <w:sz w:val="20"/>
          <w:szCs w:val="20"/>
        </w:rPr>
      </w:pPr>
      <w:r w:rsidRPr="00467985">
        <w:rPr>
          <w:noProof/>
          <w:lang w:val="da-DK" w:eastAsia="da-DK"/>
        </w:rPr>
        <w:drawing>
          <wp:inline distT="0" distB="0" distL="0" distR="0" wp14:anchorId="77E898A2" wp14:editId="31346C2C">
            <wp:extent cx="6300470" cy="72700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0470" cy="727001"/>
                    </a:xfrm>
                    <a:prstGeom prst="rect">
                      <a:avLst/>
                    </a:prstGeom>
                    <a:noFill/>
                    <a:ln>
                      <a:noFill/>
                    </a:ln>
                  </pic:spPr>
                </pic:pic>
              </a:graphicData>
            </a:graphic>
          </wp:inline>
        </w:drawing>
      </w:r>
    </w:p>
    <w:p w:rsidR="00426EBB" w:rsidRDefault="00426EBB" w:rsidP="00E324EB">
      <w:pPr>
        <w:pStyle w:val="ListParagraph"/>
        <w:spacing w:after="200" w:line="276" w:lineRule="auto"/>
        <w:ind w:left="0"/>
        <w:jc w:val="both"/>
        <w:rPr>
          <w:rFonts w:ascii="Verdana" w:hAnsi="Verdana"/>
          <w:sz w:val="20"/>
          <w:szCs w:val="20"/>
        </w:rPr>
      </w:pPr>
    </w:p>
    <w:p w:rsidR="00E324EB" w:rsidRPr="00E324EB" w:rsidRDefault="00E324EB" w:rsidP="00E324EB">
      <w:pPr>
        <w:pStyle w:val="ListParagraph"/>
        <w:spacing w:after="200" w:line="276" w:lineRule="auto"/>
        <w:ind w:left="0"/>
        <w:jc w:val="both"/>
        <w:rPr>
          <w:rFonts w:ascii="Verdana" w:hAnsi="Verdana"/>
          <w:sz w:val="20"/>
          <w:szCs w:val="20"/>
        </w:rPr>
      </w:pPr>
      <w:r w:rsidRPr="00E324EB">
        <w:rPr>
          <w:rFonts w:ascii="Verdana" w:hAnsi="Verdana"/>
          <w:sz w:val="20"/>
          <w:szCs w:val="20"/>
        </w:rPr>
        <w:t>The fair value in subsidiaries is considered to be equal to the equity value after the above-mentioned impairment test and a write-</w:t>
      </w:r>
      <w:r w:rsidRPr="00467985">
        <w:rPr>
          <w:rFonts w:ascii="Verdana" w:hAnsi="Verdana"/>
          <w:sz w:val="20"/>
          <w:szCs w:val="20"/>
        </w:rPr>
        <w:t xml:space="preserve">down of </w:t>
      </w:r>
      <w:r w:rsidR="00467985" w:rsidRPr="00467985">
        <w:rPr>
          <w:rFonts w:ascii="Verdana" w:hAnsi="Verdana"/>
          <w:sz w:val="20"/>
          <w:szCs w:val="20"/>
        </w:rPr>
        <w:t>USD 5.5</w:t>
      </w:r>
      <w:r w:rsidRPr="00467985">
        <w:rPr>
          <w:rFonts w:ascii="Verdana" w:hAnsi="Verdana"/>
          <w:sz w:val="20"/>
          <w:szCs w:val="20"/>
        </w:rPr>
        <w:t xml:space="preserve"> million</w:t>
      </w:r>
      <w:r w:rsidRPr="00E324EB">
        <w:rPr>
          <w:rFonts w:ascii="Verdana" w:hAnsi="Verdana"/>
          <w:sz w:val="20"/>
          <w:szCs w:val="20"/>
        </w:rPr>
        <w:t xml:space="preserve"> (2012: USD 6.0 million) has thus been made in the Company.</w:t>
      </w:r>
    </w:p>
    <w:p w:rsidR="00E324EB" w:rsidRPr="00E324EB" w:rsidRDefault="00E324EB" w:rsidP="00E324EB">
      <w:pPr>
        <w:pStyle w:val="ListParagraph"/>
        <w:spacing w:after="200" w:line="276" w:lineRule="auto"/>
        <w:ind w:hanging="720"/>
        <w:jc w:val="both"/>
        <w:rPr>
          <w:rFonts w:ascii="Verdana" w:hAnsi="Verdana"/>
          <w:sz w:val="20"/>
          <w:szCs w:val="20"/>
        </w:rPr>
      </w:pPr>
    </w:p>
    <w:p w:rsidR="00E324EB" w:rsidRPr="00E324EB" w:rsidRDefault="00E324EB" w:rsidP="00E324EB">
      <w:pPr>
        <w:pStyle w:val="ListParagraph"/>
        <w:spacing w:after="200" w:line="276" w:lineRule="auto"/>
        <w:ind w:left="0"/>
        <w:jc w:val="both"/>
        <w:rPr>
          <w:rFonts w:ascii="Verdana" w:hAnsi="Verdana"/>
          <w:sz w:val="20"/>
          <w:szCs w:val="20"/>
        </w:rPr>
      </w:pPr>
      <w:r w:rsidRPr="00E324EB">
        <w:rPr>
          <w:rFonts w:ascii="Verdana" w:hAnsi="Verdana"/>
          <w:sz w:val="20"/>
          <w:szCs w:val="20"/>
        </w:rPr>
        <w:t>For further information about investment in subsidiaries, please refer to Note 1</w:t>
      </w:r>
      <w:r w:rsidR="00D862E9">
        <w:rPr>
          <w:rFonts w:ascii="Verdana" w:hAnsi="Verdana"/>
          <w:sz w:val="20"/>
          <w:szCs w:val="20"/>
        </w:rPr>
        <w:t>4</w:t>
      </w:r>
      <w:r w:rsidRPr="00E324EB">
        <w:rPr>
          <w:rFonts w:ascii="Verdana" w:hAnsi="Verdana"/>
          <w:sz w:val="20"/>
          <w:szCs w:val="20"/>
        </w:rPr>
        <w:t>, and for information regarding impairment test, please refer to Note</w:t>
      </w:r>
      <w:r w:rsidR="00D862E9">
        <w:rPr>
          <w:rFonts w:ascii="Verdana" w:hAnsi="Verdana"/>
          <w:sz w:val="20"/>
          <w:szCs w:val="20"/>
        </w:rPr>
        <w:t xml:space="preserve"> 6</w:t>
      </w:r>
      <w:r w:rsidRPr="00E324EB">
        <w:rPr>
          <w:rFonts w:ascii="Verdana" w:hAnsi="Verdana"/>
          <w:sz w:val="20"/>
          <w:szCs w:val="20"/>
        </w:rPr>
        <w:t>.</w:t>
      </w:r>
    </w:p>
    <w:p w:rsidR="00E324EB" w:rsidRDefault="00E324EB"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p>
    <w:p w:rsidR="00D862E9" w:rsidRDefault="00D862E9"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p>
    <w:p w:rsidR="004D2E8B" w:rsidRDefault="00ED2604"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8. </w:t>
      </w:r>
      <w:r>
        <w:rPr>
          <w:rStyle w:val="Strong"/>
          <w:rFonts w:ascii="Verdana" w:hAnsi="Verdana" w:cstheme="minorHAnsi"/>
          <w:color w:val="95B3D7" w:themeColor="accent1" w:themeTint="99"/>
          <w:sz w:val="20"/>
          <w:szCs w:val="20"/>
        </w:rPr>
        <w:tab/>
        <w:t>Gain from</w:t>
      </w:r>
      <w:r w:rsidR="00E324EB">
        <w:rPr>
          <w:rStyle w:val="Strong"/>
          <w:rFonts w:ascii="Verdana" w:hAnsi="Verdana" w:cstheme="minorHAnsi"/>
          <w:color w:val="95B3D7" w:themeColor="accent1" w:themeTint="99"/>
          <w:sz w:val="20"/>
          <w:szCs w:val="20"/>
        </w:rPr>
        <w:t xml:space="preserve"> restructuring</w:t>
      </w:r>
    </w:p>
    <w:p w:rsidR="00E324EB" w:rsidRDefault="004A6280"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r w:rsidRPr="004A6280">
        <w:rPr>
          <w:rStyle w:val="Strong"/>
          <w:b w:val="0"/>
          <w:bCs w:val="0"/>
          <w:noProof/>
          <w:lang w:val="da-DK" w:eastAsia="da-DK"/>
        </w:rPr>
        <w:drawing>
          <wp:inline distT="0" distB="0" distL="0" distR="0" wp14:anchorId="4326AE6C" wp14:editId="3DFE484A">
            <wp:extent cx="6300470" cy="156742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0470" cy="1567425"/>
                    </a:xfrm>
                    <a:prstGeom prst="rect">
                      <a:avLst/>
                    </a:prstGeom>
                    <a:noFill/>
                    <a:ln>
                      <a:noFill/>
                    </a:ln>
                  </pic:spPr>
                </pic:pic>
              </a:graphicData>
            </a:graphic>
          </wp:inline>
        </w:drawing>
      </w:r>
    </w:p>
    <w:p w:rsidR="00E324EB" w:rsidRDefault="00E324EB" w:rsidP="00E324EB">
      <w:pPr>
        <w:pStyle w:val="ListParagraph"/>
        <w:spacing w:after="200" w:line="276" w:lineRule="auto"/>
        <w:ind w:hanging="720"/>
        <w:jc w:val="both"/>
        <w:rPr>
          <w:rStyle w:val="Strong"/>
          <w:rFonts w:ascii="Verdana" w:hAnsi="Verdana" w:cstheme="minorHAnsi"/>
          <w:color w:val="95B3D7" w:themeColor="accent1" w:themeTint="99"/>
          <w:sz w:val="20"/>
          <w:szCs w:val="20"/>
        </w:rPr>
      </w:pPr>
    </w:p>
    <w:p w:rsidR="00E324EB" w:rsidRPr="00E324EB" w:rsidRDefault="00E324EB" w:rsidP="00E324EB">
      <w:pPr>
        <w:pStyle w:val="ListParagraph"/>
        <w:spacing w:after="200" w:line="276" w:lineRule="auto"/>
        <w:ind w:left="0"/>
        <w:jc w:val="both"/>
        <w:rPr>
          <w:rStyle w:val="Strong"/>
          <w:rFonts w:ascii="Verdana" w:hAnsi="Verdana" w:cstheme="minorHAnsi"/>
          <w:b w:val="0"/>
          <w:sz w:val="20"/>
          <w:szCs w:val="20"/>
        </w:rPr>
      </w:pPr>
      <w:r w:rsidRPr="00E324EB">
        <w:rPr>
          <w:rStyle w:val="Strong"/>
          <w:rFonts w:ascii="Verdana" w:hAnsi="Verdana" w:cstheme="minorHAnsi"/>
          <w:b w:val="0"/>
          <w:sz w:val="20"/>
          <w:szCs w:val="20"/>
        </w:rPr>
        <w:t>As part of the restructuring in December 2013, Nordic Maritime acquired debt totalling approximately USD</w:t>
      </w:r>
      <w:r w:rsidR="00633C3E">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60</w:t>
      </w:r>
      <w:r w:rsidR="00633C3E">
        <w:rPr>
          <w:rStyle w:val="Strong"/>
          <w:rFonts w:ascii="Verdana" w:hAnsi="Verdana" w:cstheme="minorHAnsi"/>
          <w:b w:val="0"/>
          <w:sz w:val="20"/>
          <w:szCs w:val="20"/>
        </w:rPr>
        <w:t>.0</w:t>
      </w:r>
      <w:r w:rsidRPr="00E324EB">
        <w:rPr>
          <w:rStyle w:val="Strong"/>
          <w:rFonts w:ascii="Verdana" w:hAnsi="Verdana" w:cstheme="minorHAnsi"/>
          <w:b w:val="0"/>
          <w:sz w:val="20"/>
          <w:szCs w:val="20"/>
        </w:rPr>
        <w:t xml:space="preserve"> million, which included a close-out amount as a result of the early termination of the Company’s existing interest hedging (swap) agreement with one of the lend</w:t>
      </w:r>
      <w:r w:rsidR="004141BB">
        <w:rPr>
          <w:rStyle w:val="Strong"/>
          <w:rFonts w:ascii="Verdana" w:hAnsi="Verdana" w:cstheme="minorHAnsi"/>
          <w:b w:val="0"/>
          <w:sz w:val="20"/>
          <w:szCs w:val="20"/>
        </w:rPr>
        <w:t>ing</w:t>
      </w:r>
      <w:r w:rsidRPr="00E324EB">
        <w:rPr>
          <w:rStyle w:val="Strong"/>
          <w:rFonts w:ascii="Verdana" w:hAnsi="Verdana" w:cstheme="minorHAnsi"/>
          <w:b w:val="0"/>
          <w:sz w:val="20"/>
          <w:szCs w:val="20"/>
        </w:rPr>
        <w:t xml:space="preserve"> banks and converted the acquired deb</w:t>
      </w:r>
      <w:r w:rsidR="00633C3E">
        <w:rPr>
          <w:rStyle w:val="Strong"/>
          <w:rFonts w:ascii="Verdana" w:hAnsi="Verdana" w:cstheme="minorHAnsi"/>
          <w:b w:val="0"/>
          <w:sz w:val="20"/>
          <w:szCs w:val="20"/>
        </w:rPr>
        <w:t xml:space="preserve">t into new shares in the </w:t>
      </w:r>
      <w:r w:rsidRPr="00E324EB">
        <w:rPr>
          <w:rStyle w:val="Strong"/>
          <w:rFonts w:ascii="Verdana" w:hAnsi="Verdana" w:cstheme="minorHAnsi"/>
          <w:b w:val="0"/>
          <w:sz w:val="20"/>
          <w:szCs w:val="20"/>
        </w:rPr>
        <w:t>Company. Nordic Maritime’s purchase price for the debt and a post-restructuring ownership sh</w:t>
      </w:r>
      <w:r w:rsidR="00F512E7">
        <w:rPr>
          <w:rStyle w:val="Strong"/>
          <w:rFonts w:ascii="Verdana" w:hAnsi="Verdana" w:cstheme="minorHAnsi"/>
          <w:b w:val="0"/>
          <w:sz w:val="20"/>
          <w:szCs w:val="20"/>
        </w:rPr>
        <w:t>are of 75% was agreed to be USD</w:t>
      </w:r>
      <w:r w:rsidR="00633C3E">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35</w:t>
      </w:r>
      <w:r w:rsidR="00633C3E">
        <w:rPr>
          <w:rStyle w:val="Strong"/>
          <w:rFonts w:ascii="Verdana" w:hAnsi="Verdana" w:cstheme="minorHAnsi"/>
          <w:b w:val="0"/>
          <w:sz w:val="20"/>
          <w:szCs w:val="20"/>
        </w:rPr>
        <w:t>.0</w:t>
      </w:r>
      <w:r w:rsidRPr="00E324EB">
        <w:rPr>
          <w:rStyle w:val="Strong"/>
          <w:rFonts w:ascii="Verdana" w:hAnsi="Verdana" w:cstheme="minorHAnsi"/>
          <w:b w:val="0"/>
          <w:sz w:val="20"/>
          <w:szCs w:val="20"/>
        </w:rPr>
        <w:t xml:space="preserve"> million. As a consequence of the restructuring,</w:t>
      </w:r>
      <w:r w:rsidR="00815F3B">
        <w:rPr>
          <w:rStyle w:val="Strong"/>
          <w:rFonts w:ascii="Verdana" w:hAnsi="Verdana" w:cstheme="minorHAnsi"/>
          <w:b w:val="0"/>
          <w:sz w:val="20"/>
          <w:szCs w:val="20"/>
        </w:rPr>
        <w:t xml:space="preserve"> Nordic Maritime and the </w:t>
      </w:r>
      <w:r w:rsidR="004141BB">
        <w:rPr>
          <w:rStyle w:val="Strong"/>
          <w:rFonts w:ascii="Verdana" w:hAnsi="Verdana" w:cstheme="minorHAnsi"/>
          <w:b w:val="0"/>
          <w:sz w:val="20"/>
          <w:szCs w:val="20"/>
        </w:rPr>
        <w:t>Company's lending</w:t>
      </w:r>
      <w:r w:rsidRPr="00E324EB">
        <w:rPr>
          <w:rStyle w:val="Strong"/>
          <w:rFonts w:ascii="Verdana" w:hAnsi="Verdana" w:cstheme="minorHAnsi"/>
          <w:b w:val="0"/>
          <w:sz w:val="20"/>
          <w:szCs w:val="20"/>
        </w:rPr>
        <w:t xml:space="preserve"> banks have converted debt (finance loans and interest rate swap) for a total amount of approximately USD</w:t>
      </w:r>
      <w:r w:rsidR="00633C3E">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72.1 million into new shares.</w:t>
      </w:r>
    </w:p>
    <w:p w:rsidR="00E324EB" w:rsidRPr="00E324EB" w:rsidRDefault="00E324EB" w:rsidP="00E324EB">
      <w:pPr>
        <w:pStyle w:val="ListParagraph"/>
        <w:spacing w:after="200" w:line="276" w:lineRule="auto"/>
        <w:ind w:left="0"/>
        <w:jc w:val="both"/>
        <w:rPr>
          <w:rStyle w:val="Strong"/>
          <w:rFonts w:ascii="Verdana" w:hAnsi="Verdana" w:cstheme="minorHAnsi"/>
          <w:b w:val="0"/>
          <w:sz w:val="20"/>
          <w:szCs w:val="20"/>
        </w:rPr>
      </w:pPr>
    </w:p>
    <w:p w:rsidR="00B42454" w:rsidRDefault="00E324EB" w:rsidP="00E324EB">
      <w:pPr>
        <w:pStyle w:val="ListParagraph"/>
        <w:spacing w:after="200" w:line="276" w:lineRule="auto"/>
        <w:ind w:left="0"/>
        <w:jc w:val="both"/>
        <w:rPr>
          <w:rStyle w:val="Strong"/>
          <w:rFonts w:ascii="Verdana" w:hAnsi="Verdana" w:cstheme="minorHAnsi"/>
          <w:b w:val="0"/>
          <w:sz w:val="20"/>
          <w:szCs w:val="20"/>
        </w:rPr>
      </w:pPr>
      <w:r w:rsidRPr="00E324EB">
        <w:rPr>
          <w:rStyle w:val="Strong"/>
          <w:rFonts w:ascii="Verdana" w:hAnsi="Verdana" w:cstheme="minorHAnsi"/>
          <w:b w:val="0"/>
          <w:sz w:val="20"/>
          <w:szCs w:val="20"/>
        </w:rPr>
        <w:t xml:space="preserve">Based </w:t>
      </w:r>
      <w:r w:rsidR="00F512E7">
        <w:rPr>
          <w:rStyle w:val="Strong"/>
          <w:rFonts w:ascii="Verdana" w:hAnsi="Verdana" w:cstheme="minorHAnsi"/>
          <w:b w:val="0"/>
          <w:sz w:val="20"/>
          <w:szCs w:val="20"/>
        </w:rPr>
        <w:t>on the transaction price of USD</w:t>
      </w:r>
      <w:r w:rsidR="00633C3E">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35.0 million paid by Nordic Maritime, the total calculated</w:t>
      </w:r>
      <w:r w:rsidR="00F512E7">
        <w:rPr>
          <w:rStyle w:val="Strong"/>
          <w:rFonts w:ascii="Verdana" w:hAnsi="Verdana" w:cstheme="minorHAnsi"/>
          <w:b w:val="0"/>
          <w:sz w:val="20"/>
          <w:szCs w:val="20"/>
        </w:rPr>
        <w:t xml:space="preserve"> value of shares issued was USD</w:t>
      </w:r>
      <w:r w:rsidR="00633C3E">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42.0 milli</w:t>
      </w:r>
      <w:r w:rsidR="00F512E7">
        <w:rPr>
          <w:rStyle w:val="Strong"/>
          <w:rFonts w:ascii="Verdana" w:hAnsi="Verdana" w:cstheme="minorHAnsi"/>
          <w:b w:val="0"/>
          <w:sz w:val="20"/>
          <w:szCs w:val="20"/>
        </w:rPr>
        <w:t>on for a debt conversion of USD</w:t>
      </w:r>
      <w:r w:rsidR="00633C3E">
        <w:rPr>
          <w:rStyle w:val="Strong"/>
          <w:rFonts w:ascii="Verdana" w:hAnsi="Verdana" w:cstheme="minorHAnsi"/>
          <w:b w:val="0"/>
          <w:sz w:val="20"/>
          <w:szCs w:val="20"/>
        </w:rPr>
        <w:t xml:space="preserve"> </w:t>
      </w:r>
      <w:r w:rsidR="00815F3B">
        <w:rPr>
          <w:rStyle w:val="Strong"/>
          <w:rFonts w:ascii="Verdana" w:hAnsi="Verdana" w:cstheme="minorHAnsi"/>
          <w:b w:val="0"/>
          <w:sz w:val="20"/>
          <w:szCs w:val="20"/>
        </w:rPr>
        <w:t>72.1</w:t>
      </w:r>
      <w:r w:rsidRPr="00E324EB">
        <w:rPr>
          <w:rStyle w:val="Strong"/>
          <w:rFonts w:ascii="Verdana" w:hAnsi="Verdana" w:cstheme="minorHAnsi"/>
          <w:b w:val="0"/>
          <w:sz w:val="20"/>
          <w:szCs w:val="20"/>
        </w:rPr>
        <w:t xml:space="preserve"> million.  This results</w:t>
      </w:r>
      <w:r w:rsidR="00F512E7">
        <w:rPr>
          <w:rStyle w:val="Strong"/>
          <w:rFonts w:ascii="Verdana" w:hAnsi="Verdana" w:cstheme="minorHAnsi"/>
          <w:b w:val="0"/>
          <w:sz w:val="20"/>
          <w:szCs w:val="20"/>
        </w:rPr>
        <w:t xml:space="preserve"> in a gain of approximately USD</w:t>
      </w:r>
      <w:r w:rsidR="00633C3E">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30.1 million before adjusting for net hedging loss accumulated in equity of USD</w:t>
      </w:r>
      <w:r w:rsidR="00633C3E">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1.5 million.</w:t>
      </w:r>
      <w:r w:rsidR="00D862E9">
        <w:rPr>
          <w:rStyle w:val="Strong"/>
          <w:rFonts w:ascii="Verdana" w:hAnsi="Verdana" w:cstheme="minorHAnsi"/>
          <w:b w:val="0"/>
          <w:sz w:val="20"/>
          <w:szCs w:val="20"/>
        </w:rPr>
        <w:t xml:space="preserve"> </w:t>
      </w:r>
      <w:r w:rsidRPr="00E324EB">
        <w:rPr>
          <w:rStyle w:val="Strong"/>
          <w:rFonts w:ascii="Verdana" w:hAnsi="Verdana" w:cstheme="minorHAnsi"/>
          <w:b w:val="0"/>
          <w:sz w:val="20"/>
          <w:szCs w:val="20"/>
        </w:rPr>
        <w:t>For further information about the restructuring, please refer to Note 0.</w:t>
      </w:r>
    </w:p>
    <w:p w:rsidR="00ED2604" w:rsidRDefault="00ED2604" w:rsidP="00E324EB">
      <w:pPr>
        <w:pStyle w:val="ListParagraph"/>
        <w:spacing w:after="200" w:line="276" w:lineRule="auto"/>
        <w:ind w:left="0"/>
        <w:jc w:val="both"/>
        <w:rPr>
          <w:rStyle w:val="Strong"/>
          <w:rFonts w:ascii="Verdana" w:hAnsi="Verdana" w:cstheme="minorHAnsi"/>
          <w:b w:val="0"/>
          <w:sz w:val="20"/>
          <w:szCs w:val="20"/>
        </w:rPr>
      </w:pPr>
    </w:p>
    <w:p w:rsidR="00FB05F8" w:rsidRDefault="00FB05F8" w:rsidP="00E324EB">
      <w:pPr>
        <w:pStyle w:val="ListParagraph"/>
        <w:spacing w:after="200" w:line="276" w:lineRule="auto"/>
        <w:ind w:left="0"/>
        <w:jc w:val="both"/>
        <w:rPr>
          <w:rStyle w:val="Strong"/>
          <w:rFonts w:ascii="Verdana" w:hAnsi="Verdana" w:cstheme="minorHAnsi"/>
          <w:b w:val="0"/>
          <w:sz w:val="20"/>
          <w:szCs w:val="20"/>
        </w:rPr>
      </w:pPr>
    </w:p>
    <w:p w:rsidR="00FB05F8" w:rsidRDefault="00FB05F8" w:rsidP="00E324EB">
      <w:pPr>
        <w:pStyle w:val="ListParagraph"/>
        <w:spacing w:after="200" w:line="276" w:lineRule="auto"/>
        <w:ind w:left="0"/>
        <w:jc w:val="both"/>
        <w:rPr>
          <w:rStyle w:val="Strong"/>
          <w:rFonts w:ascii="Verdana" w:hAnsi="Verdana" w:cstheme="minorHAnsi"/>
          <w:b w:val="0"/>
          <w:sz w:val="20"/>
          <w:szCs w:val="20"/>
        </w:rPr>
      </w:pPr>
    </w:p>
    <w:p w:rsidR="00FB05F8" w:rsidRDefault="00FB05F8" w:rsidP="00E324EB">
      <w:pPr>
        <w:pStyle w:val="ListParagraph"/>
        <w:spacing w:after="200" w:line="276" w:lineRule="auto"/>
        <w:ind w:left="0"/>
        <w:jc w:val="both"/>
        <w:rPr>
          <w:rStyle w:val="Strong"/>
          <w:rFonts w:ascii="Verdana" w:hAnsi="Verdana" w:cstheme="minorHAnsi"/>
          <w:b w:val="0"/>
          <w:sz w:val="20"/>
          <w:szCs w:val="20"/>
        </w:rPr>
      </w:pPr>
    </w:p>
    <w:p w:rsidR="00FB05F8" w:rsidRDefault="00FB05F8" w:rsidP="00E324EB">
      <w:pPr>
        <w:pStyle w:val="ListParagraph"/>
        <w:spacing w:after="200" w:line="276" w:lineRule="auto"/>
        <w:ind w:left="0"/>
        <w:jc w:val="both"/>
        <w:rPr>
          <w:rStyle w:val="Strong"/>
          <w:rFonts w:ascii="Verdana" w:hAnsi="Verdana" w:cstheme="minorHAnsi"/>
          <w:b w:val="0"/>
          <w:sz w:val="20"/>
          <w:szCs w:val="20"/>
        </w:rPr>
      </w:pPr>
    </w:p>
    <w:p w:rsidR="00FB05F8" w:rsidRDefault="00FB05F8" w:rsidP="00E324EB">
      <w:pPr>
        <w:pStyle w:val="ListParagraph"/>
        <w:spacing w:after="200" w:line="276" w:lineRule="auto"/>
        <w:ind w:left="0"/>
        <w:jc w:val="both"/>
        <w:rPr>
          <w:rStyle w:val="Strong"/>
          <w:rFonts w:ascii="Verdana" w:hAnsi="Verdana" w:cstheme="minorHAnsi"/>
          <w:b w:val="0"/>
          <w:sz w:val="20"/>
          <w:szCs w:val="20"/>
        </w:rPr>
      </w:pPr>
    </w:p>
    <w:p w:rsidR="00FB05F8" w:rsidRDefault="00FB05F8" w:rsidP="00E324EB">
      <w:pPr>
        <w:pStyle w:val="ListParagraph"/>
        <w:spacing w:after="200" w:line="276" w:lineRule="auto"/>
        <w:ind w:left="0"/>
        <w:jc w:val="both"/>
        <w:rPr>
          <w:rStyle w:val="Strong"/>
          <w:rFonts w:ascii="Verdana" w:hAnsi="Verdana" w:cstheme="minorHAnsi"/>
          <w:b w:val="0"/>
          <w:sz w:val="20"/>
          <w:szCs w:val="20"/>
        </w:rPr>
      </w:pPr>
    </w:p>
    <w:p w:rsidR="00426EBB" w:rsidRDefault="00426EBB" w:rsidP="00E324EB">
      <w:pPr>
        <w:pStyle w:val="ListParagraph"/>
        <w:spacing w:after="200" w:line="276" w:lineRule="auto"/>
        <w:ind w:left="0"/>
        <w:jc w:val="both"/>
        <w:rPr>
          <w:rStyle w:val="Strong"/>
          <w:rFonts w:ascii="Verdana" w:hAnsi="Verdana" w:cstheme="minorHAnsi"/>
          <w:b w:val="0"/>
          <w:sz w:val="20"/>
          <w:szCs w:val="20"/>
        </w:rPr>
      </w:pPr>
    </w:p>
    <w:p w:rsidR="000F3A81" w:rsidRDefault="00B42454" w:rsidP="00B42454">
      <w:pPr>
        <w:pStyle w:val="ListParagraph"/>
        <w:spacing w:after="200" w:line="276" w:lineRule="auto"/>
        <w:ind w:hanging="720"/>
        <w:jc w:val="both"/>
      </w:pPr>
      <w:r>
        <w:rPr>
          <w:rStyle w:val="Strong"/>
          <w:rFonts w:ascii="Verdana" w:hAnsi="Verdana" w:cstheme="minorHAnsi"/>
          <w:color w:val="95B3D7" w:themeColor="accent1" w:themeTint="99"/>
          <w:sz w:val="20"/>
          <w:szCs w:val="20"/>
        </w:rPr>
        <w:t xml:space="preserve">9. </w:t>
      </w:r>
      <w:r>
        <w:rPr>
          <w:rStyle w:val="Strong"/>
          <w:rFonts w:ascii="Verdana" w:hAnsi="Verdana" w:cstheme="minorHAnsi"/>
          <w:color w:val="95B3D7" w:themeColor="accent1" w:themeTint="99"/>
          <w:sz w:val="20"/>
          <w:szCs w:val="20"/>
        </w:rPr>
        <w:tab/>
        <w:t>Financial income</w:t>
      </w:r>
    </w:p>
    <w:p w:rsidR="000F3A81" w:rsidRDefault="00426EBB">
      <w:r w:rsidRPr="00426EBB">
        <w:rPr>
          <w:noProof/>
          <w:lang w:val="da-DK" w:eastAsia="da-DK"/>
        </w:rPr>
        <w:drawing>
          <wp:inline distT="0" distB="0" distL="0" distR="0" wp14:anchorId="5F281DAA" wp14:editId="2106FA58">
            <wp:extent cx="6300470" cy="892994"/>
            <wp:effectExtent l="0" t="0" r="508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0470" cy="892994"/>
                    </a:xfrm>
                    <a:prstGeom prst="rect">
                      <a:avLst/>
                    </a:prstGeom>
                    <a:noFill/>
                    <a:ln>
                      <a:noFill/>
                    </a:ln>
                  </pic:spPr>
                </pic:pic>
              </a:graphicData>
            </a:graphic>
          </wp:inline>
        </w:drawing>
      </w:r>
    </w:p>
    <w:p w:rsidR="00426EBB" w:rsidRDefault="00426EBB" w:rsidP="00426EBB">
      <w:pPr>
        <w:pStyle w:val="ListParagraph"/>
        <w:spacing w:after="200" w:line="276" w:lineRule="auto"/>
        <w:ind w:hanging="720"/>
        <w:jc w:val="both"/>
        <w:rPr>
          <w:rStyle w:val="Strong"/>
          <w:rFonts w:ascii="Verdana" w:hAnsi="Verdana" w:cstheme="minorHAnsi"/>
          <w:color w:val="95B3D7" w:themeColor="accent1" w:themeTint="99"/>
          <w:sz w:val="20"/>
          <w:szCs w:val="20"/>
        </w:rPr>
      </w:pPr>
    </w:p>
    <w:p w:rsidR="00B42454" w:rsidRPr="00426EBB" w:rsidRDefault="00D862E9" w:rsidP="00426EBB">
      <w:pPr>
        <w:pStyle w:val="ListParagraph"/>
        <w:spacing w:after="200" w:line="276" w:lineRule="auto"/>
        <w:ind w:hanging="720"/>
        <w:jc w:val="both"/>
        <w:rPr>
          <w:rFonts w:ascii="Verdana" w:hAnsi="Verdana" w:cstheme="minorHAnsi"/>
          <w:b/>
          <w:bCs/>
          <w:color w:val="95B3D7" w:themeColor="accent1" w:themeTint="99"/>
          <w:sz w:val="20"/>
          <w:szCs w:val="20"/>
        </w:rPr>
      </w:pPr>
      <w:r w:rsidRPr="00426EBB">
        <w:rPr>
          <w:rStyle w:val="Strong"/>
          <w:rFonts w:ascii="Verdana" w:hAnsi="Verdana" w:cstheme="minorHAnsi"/>
          <w:color w:val="95B3D7" w:themeColor="accent1" w:themeTint="99"/>
          <w:sz w:val="20"/>
          <w:szCs w:val="20"/>
        </w:rPr>
        <w:t>10</w:t>
      </w:r>
      <w:r w:rsidR="00B42454" w:rsidRPr="00426EBB">
        <w:rPr>
          <w:rStyle w:val="Strong"/>
          <w:rFonts w:ascii="Verdana" w:hAnsi="Verdana" w:cstheme="minorHAnsi"/>
          <w:color w:val="95B3D7" w:themeColor="accent1" w:themeTint="99"/>
          <w:sz w:val="20"/>
          <w:szCs w:val="20"/>
        </w:rPr>
        <w:t xml:space="preserve">. </w:t>
      </w:r>
      <w:r w:rsidR="00B42454" w:rsidRPr="00426EBB">
        <w:rPr>
          <w:rStyle w:val="Strong"/>
          <w:rFonts w:ascii="Verdana" w:hAnsi="Verdana" w:cstheme="minorHAnsi"/>
          <w:color w:val="95B3D7" w:themeColor="accent1" w:themeTint="99"/>
          <w:sz w:val="20"/>
          <w:szCs w:val="20"/>
        </w:rPr>
        <w:tab/>
        <w:t>Financial expenses</w:t>
      </w:r>
    </w:p>
    <w:p w:rsidR="00B42454" w:rsidRDefault="00426EBB">
      <w:r w:rsidRPr="00426EBB">
        <w:rPr>
          <w:noProof/>
          <w:lang w:val="da-DK" w:eastAsia="da-DK"/>
        </w:rPr>
        <w:drawing>
          <wp:inline distT="0" distB="0" distL="0" distR="0" wp14:anchorId="23BED7EA" wp14:editId="6B6DEC98">
            <wp:extent cx="6300470" cy="2409435"/>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0470" cy="2409435"/>
                    </a:xfrm>
                    <a:prstGeom prst="rect">
                      <a:avLst/>
                    </a:prstGeom>
                    <a:noFill/>
                    <a:ln>
                      <a:noFill/>
                    </a:ln>
                  </pic:spPr>
                </pic:pic>
              </a:graphicData>
            </a:graphic>
          </wp:inline>
        </w:drawing>
      </w:r>
    </w:p>
    <w:p w:rsidR="00B42454" w:rsidRDefault="00B42454" w:rsidP="00D34795">
      <w:pPr>
        <w:spacing w:after="0"/>
        <w:jc w:val="both"/>
        <w:rPr>
          <w:rFonts w:ascii="Verdana" w:hAnsi="Verdana"/>
          <w:sz w:val="20"/>
          <w:szCs w:val="20"/>
        </w:rPr>
      </w:pPr>
      <w:r w:rsidRPr="00B42454">
        <w:rPr>
          <w:rFonts w:ascii="Verdana" w:hAnsi="Verdana"/>
          <w:sz w:val="20"/>
          <w:szCs w:val="20"/>
        </w:rPr>
        <w:t>In Year 2012, the vendor note included in other receivables has be</w:t>
      </w:r>
      <w:r w:rsidR="00ED2604">
        <w:rPr>
          <w:rFonts w:ascii="Verdana" w:hAnsi="Verdana"/>
          <w:sz w:val="20"/>
          <w:szCs w:val="20"/>
        </w:rPr>
        <w:t xml:space="preserve">en written down to the carrying </w:t>
      </w:r>
      <w:r w:rsidRPr="00B42454">
        <w:rPr>
          <w:rFonts w:ascii="Verdana" w:hAnsi="Verdana"/>
          <w:sz w:val="20"/>
          <w:szCs w:val="20"/>
        </w:rPr>
        <w:t>value of the debt towards Clipper.</w:t>
      </w:r>
    </w:p>
    <w:p w:rsidR="00D34795" w:rsidRDefault="00D34795" w:rsidP="00D34795">
      <w:pPr>
        <w:spacing w:after="0"/>
        <w:jc w:val="both"/>
        <w:rPr>
          <w:rFonts w:ascii="Verdana" w:hAnsi="Verdana"/>
          <w:sz w:val="20"/>
          <w:szCs w:val="20"/>
        </w:rPr>
      </w:pPr>
    </w:p>
    <w:p w:rsidR="00D34795" w:rsidRDefault="00D34795" w:rsidP="00D34795">
      <w:pPr>
        <w:spacing w:after="0"/>
        <w:jc w:val="both"/>
        <w:rPr>
          <w:rFonts w:ascii="Verdana" w:hAnsi="Verdana"/>
          <w:sz w:val="20"/>
          <w:szCs w:val="20"/>
        </w:rPr>
      </w:pPr>
    </w:p>
    <w:p w:rsidR="00B42454" w:rsidRDefault="00B42454" w:rsidP="00D34795">
      <w:pPr>
        <w:spacing w:after="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11. </w:t>
      </w:r>
      <w:r>
        <w:rPr>
          <w:rStyle w:val="Strong"/>
          <w:rFonts w:ascii="Verdana" w:hAnsi="Verdana" w:cstheme="minorHAnsi"/>
          <w:color w:val="95B3D7" w:themeColor="accent1" w:themeTint="99"/>
          <w:sz w:val="20"/>
          <w:szCs w:val="20"/>
        </w:rPr>
        <w:tab/>
        <w:t xml:space="preserve">Tax </w:t>
      </w:r>
    </w:p>
    <w:p w:rsidR="00B42454" w:rsidRDefault="00FB05F8" w:rsidP="00B42454">
      <w:pPr>
        <w:jc w:val="both"/>
      </w:pPr>
      <w:r w:rsidRPr="00FB05F8">
        <w:rPr>
          <w:noProof/>
          <w:lang w:val="da-DK" w:eastAsia="da-DK"/>
        </w:rPr>
        <w:drawing>
          <wp:inline distT="0" distB="0" distL="0" distR="0" wp14:anchorId="731A7315" wp14:editId="58BDF42C">
            <wp:extent cx="6300470" cy="2695401"/>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00470" cy="2695401"/>
                    </a:xfrm>
                    <a:prstGeom prst="rect">
                      <a:avLst/>
                    </a:prstGeom>
                    <a:noFill/>
                    <a:ln>
                      <a:noFill/>
                    </a:ln>
                  </pic:spPr>
                </pic:pic>
              </a:graphicData>
            </a:graphic>
          </wp:inline>
        </w:drawing>
      </w:r>
    </w:p>
    <w:p w:rsidR="00B42454" w:rsidRPr="00B42454" w:rsidRDefault="00B42454" w:rsidP="00B42454">
      <w:pPr>
        <w:jc w:val="both"/>
        <w:rPr>
          <w:rFonts w:ascii="Verdana" w:hAnsi="Verdana"/>
          <w:sz w:val="20"/>
          <w:szCs w:val="20"/>
        </w:rPr>
      </w:pPr>
      <w:r w:rsidRPr="00B42454">
        <w:rPr>
          <w:rFonts w:ascii="Verdana" w:hAnsi="Verdana"/>
          <w:sz w:val="20"/>
          <w:szCs w:val="20"/>
        </w:rPr>
        <w:t>No current or deferred tax has been recognised in other comprehensive income.</w:t>
      </w:r>
    </w:p>
    <w:p w:rsidR="004A3B61" w:rsidRDefault="00B42454" w:rsidP="00B42454">
      <w:pPr>
        <w:jc w:val="both"/>
        <w:rPr>
          <w:rFonts w:ascii="Verdana" w:hAnsi="Verdana"/>
          <w:sz w:val="20"/>
          <w:szCs w:val="20"/>
        </w:rPr>
      </w:pPr>
      <w:r w:rsidRPr="00B42454">
        <w:rPr>
          <w:rFonts w:ascii="Verdana" w:hAnsi="Verdana"/>
          <w:sz w:val="20"/>
          <w:szCs w:val="20"/>
        </w:rPr>
        <w:t>The Company entered the tonnage tax scheme with effect from 2002 accounting period. The Company did not own any vessels on entry into the tonnage tax scheme; consequently, the Company has no deferred taxes from the transitional period.</w:t>
      </w:r>
    </w:p>
    <w:p w:rsidR="00B42454" w:rsidRPr="00B42454" w:rsidRDefault="00B42454" w:rsidP="00B42454">
      <w:pPr>
        <w:jc w:val="both"/>
        <w:rPr>
          <w:rFonts w:ascii="Verdana" w:hAnsi="Verdana"/>
          <w:sz w:val="20"/>
          <w:szCs w:val="20"/>
        </w:rPr>
      </w:pPr>
      <w:r w:rsidRPr="00B42454">
        <w:rPr>
          <w:rFonts w:ascii="Verdana" w:hAnsi="Verdana"/>
          <w:sz w:val="20"/>
          <w:szCs w:val="20"/>
        </w:rPr>
        <w:lastRenderedPageBreak/>
        <w:t>No deferred tax assets or liabilities are recognis</w:t>
      </w:r>
      <w:r w:rsidR="00ED2604">
        <w:rPr>
          <w:rFonts w:ascii="Verdana" w:hAnsi="Verdana"/>
          <w:sz w:val="20"/>
          <w:szCs w:val="20"/>
        </w:rPr>
        <w:t xml:space="preserve">ed </w:t>
      </w:r>
      <w:r w:rsidR="005856B9">
        <w:rPr>
          <w:rFonts w:ascii="Verdana" w:hAnsi="Verdana"/>
          <w:sz w:val="20"/>
          <w:szCs w:val="20"/>
        </w:rPr>
        <w:t xml:space="preserve">as at </w:t>
      </w:r>
      <w:r w:rsidR="00ED2604">
        <w:rPr>
          <w:rFonts w:ascii="Verdana" w:hAnsi="Verdana"/>
          <w:sz w:val="20"/>
          <w:szCs w:val="20"/>
        </w:rPr>
        <w:t>31 December 2013 (2012: 0</w:t>
      </w:r>
      <w:r w:rsidRPr="00B42454">
        <w:rPr>
          <w:rFonts w:ascii="Verdana" w:hAnsi="Verdana"/>
          <w:sz w:val="20"/>
          <w:szCs w:val="20"/>
        </w:rPr>
        <w:t>).</w:t>
      </w:r>
    </w:p>
    <w:p w:rsidR="00B42454" w:rsidRDefault="00B42454" w:rsidP="00B42454">
      <w:pPr>
        <w:jc w:val="both"/>
        <w:rPr>
          <w:rFonts w:ascii="Verdana" w:hAnsi="Verdana"/>
          <w:sz w:val="20"/>
          <w:szCs w:val="20"/>
        </w:rPr>
      </w:pPr>
      <w:r w:rsidRPr="00B42454">
        <w:rPr>
          <w:rFonts w:ascii="Verdana" w:hAnsi="Verdana"/>
          <w:sz w:val="20"/>
          <w:szCs w:val="20"/>
        </w:rPr>
        <w:t>There are no unrecognised tax liabilities associated with investments in foreign subsidia</w:t>
      </w:r>
      <w:r w:rsidR="00A77369">
        <w:rPr>
          <w:rFonts w:ascii="Verdana" w:hAnsi="Verdana"/>
          <w:sz w:val="20"/>
          <w:szCs w:val="20"/>
        </w:rPr>
        <w:t xml:space="preserve">ries and joint ventures in 2013 and </w:t>
      </w:r>
      <w:r w:rsidRPr="00B42454">
        <w:rPr>
          <w:rFonts w:ascii="Verdana" w:hAnsi="Verdana"/>
          <w:sz w:val="20"/>
          <w:szCs w:val="20"/>
        </w:rPr>
        <w:t>2012.</w:t>
      </w:r>
    </w:p>
    <w:p w:rsidR="00FB05F8" w:rsidRDefault="00FB05F8" w:rsidP="00FB05F8">
      <w:pPr>
        <w:spacing w:after="0"/>
        <w:jc w:val="both"/>
        <w:rPr>
          <w:rFonts w:ascii="Verdana" w:hAnsi="Verdana"/>
          <w:sz w:val="20"/>
          <w:szCs w:val="20"/>
        </w:rPr>
      </w:pPr>
      <w:r>
        <w:rPr>
          <w:rFonts w:ascii="Verdana" w:hAnsi="Verdana"/>
          <w:sz w:val="20"/>
          <w:szCs w:val="20"/>
        </w:rPr>
        <w:t>There are no losses carried forward after the restructuring in December 2013.</w:t>
      </w:r>
    </w:p>
    <w:p w:rsidR="00FB05F8" w:rsidRDefault="00FB05F8" w:rsidP="00FB05F8">
      <w:pPr>
        <w:spacing w:after="0"/>
        <w:jc w:val="both"/>
        <w:rPr>
          <w:rFonts w:ascii="Verdana" w:hAnsi="Verdana"/>
          <w:sz w:val="20"/>
          <w:szCs w:val="20"/>
        </w:rPr>
      </w:pPr>
    </w:p>
    <w:p w:rsidR="00FB05F8" w:rsidRDefault="00FB05F8" w:rsidP="00FB05F8">
      <w:pPr>
        <w:spacing w:after="0"/>
        <w:jc w:val="both"/>
        <w:rPr>
          <w:rFonts w:ascii="Verdana" w:hAnsi="Verdana"/>
          <w:sz w:val="20"/>
          <w:szCs w:val="20"/>
        </w:rPr>
      </w:pPr>
    </w:p>
    <w:p w:rsidR="00B42454" w:rsidRDefault="00B42454" w:rsidP="00B42454">
      <w:pPr>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12. </w:t>
      </w:r>
      <w:r>
        <w:rPr>
          <w:rStyle w:val="Strong"/>
          <w:rFonts w:ascii="Verdana" w:hAnsi="Verdana" w:cstheme="minorHAnsi"/>
          <w:color w:val="95B3D7" w:themeColor="accent1" w:themeTint="99"/>
          <w:sz w:val="20"/>
          <w:szCs w:val="20"/>
        </w:rPr>
        <w:tab/>
        <w:t>Earnings per share</w:t>
      </w:r>
    </w:p>
    <w:p w:rsidR="00B42454" w:rsidRDefault="00521A13" w:rsidP="00B42454">
      <w:pPr>
        <w:jc w:val="both"/>
        <w:rPr>
          <w:rStyle w:val="Strong"/>
          <w:rFonts w:ascii="Verdana" w:hAnsi="Verdana" w:cstheme="minorHAnsi"/>
          <w:color w:val="95B3D7" w:themeColor="accent1" w:themeTint="99"/>
          <w:sz w:val="20"/>
          <w:szCs w:val="20"/>
        </w:rPr>
      </w:pPr>
      <w:r w:rsidRPr="00521A13">
        <w:rPr>
          <w:rStyle w:val="Strong"/>
          <w:b w:val="0"/>
          <w:bCs w:val="0"/>
          <w:noProof/>
          <w:lang w:val="da-DK" w:eastAsia="da-DK"/>
        </w:rPr>
        <w:drawing>
          <wp:inline distT="0" distB="0" distL="0" distR="0">
            <wp:extent cx="6300470" cy="3866664"/>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00470" cy="3866664"/>
                    </a:xfrm>
                    <a:prstGeom prst="rect">
                      <a:avLst/>
                    </a:prstGeom>
                    <a:noFill/>
                    <a:ln>
                      <a:noFill/>
                    </a:ln>
                  </pic:spPr>
                </pic:pic>
              </a:graphicData>
            </a:graphic>
          </wp:inline>
        </w:drawing>
      </w:r>
    </w:p>
    <w:p w:rsidR="00B42454" w:rsidRDefault="00D862E9" w:rsidP="00ED4731">
      <w:pPr>
        <w:spacing w:after="0"/>
        <w:jc w:val="both"/>
        <w:rPr>
          <w:rStyle w:val="Strong"/>
          <w:rFonts w:ascii="Verdana" w:hAnsi="Verdana" w:cstheme="minorHAnsi"/>
          <w:b w:val="0"/>
          <w:sz w:val="20"/>
          <w:szCs w:val="20"/>
        </w:rPr>
      </w:pPr>
      <w:r>
        <w:rPr>
          <w:rStyle w:val="Strong"/>
          <w:rFonts w:ascii="Verdana" w:hAnsi="Verdana" w:cstheme="minorHAnsi"/>
          <w:b w:val="0"/>
          <w:sz w:val="20"/>
          <w:szCs w:val="20"/>
        </w:rPr>
        <w:t>Please refer to Note 25</w:t>
      </w:r>
      <w:r w:rsidR="00B42454">
        <w:rPr>
          <w:rStyle w:val="Strong"/>
          <w:rFonts w:ascii="Verdana" w:hAnsi="Verdana" w:cstheme="minorHAnsi"/>
          <w:b w:val="0"/>
          <w:sz w:val="20"/>
          <w:szCs w:val="20"/>
        </w:rPr>
        <w:t xml:space="preserve"> for s</w:t>
      </w:r>
      <w:r w:rsidR="00B42454" w:rsidRPr="00B42454">
        <w:rPr>
          <w:rStyle w:val="Strong"/>
          <w:rFonts w:ascii="Verdana" w:hAnsi="Verdana" w:cstheme="minorHAnsi"/>
          <w:b w:val="0"/>
          <w:sz w:val="20"/>
          <w:szCs w:val="20"/>
        </w:rPr>
        <w:t>hare-based p</w:t>
      </w:r>
      <w:r w:rsidR="00B42454">
        <w:rPr>
          <w:rStyle w:val="Strong"/>
          <w:rFonts w:ascii="Verdana" w:hAnsi="Verdana" w:cstheme="minorHAnsi"/>
          <w:b w:val="0"/>
          <w:sz w:val="20"/>
          <w:szCs w:val="20"/>
        </w:rPr>
        <w:t>ayment.</w:t>
      </w:r>
    </w:p>
    <w:p w:rsidR="00ED2604" w:rsidRDefault="00ED2604" w:rsidP="00ED4731">
      <w:pPr>
        <w:spacing w:after="0"/>
        <w:jc w:val="both"/>
        <w:rPr>
          <w:rStyle w:val="Strong"/>
          <w:rFonts w:ascii="Verdana" w:hAnsi="Verdana" w:cstheme="minorHAnsi"/>
          <w:color w:val="95B3D7" w:themeColor="accent1" w:themeTint="99"/>
          <w:sz w:val="20"/>
          <w:szCs w:val="20"/>
        </w:rPr>
      </w:pPr>
    </w:p>
    <w:p w:rsidR="00ED4731" w:rsidRDefault="00ED4731" w:rsidP="00ED4731">
      <w:pPr>
        <w:spacing w:after="0"/>
        <w:jc w:val="both"/>
        <w:rPr>
          <w:rStyle w:val="Strong"/>
          <w:rFonts w:ascii="Verdana" w:hAnsi="Verdana" w:cstheme="minorHAnsi"/>
          <w:color w:val="95B3D7" w:themeColor="accent1" w:themeTint="99"/>
          <w:sz w:val="20"/>
          <w:szCs w:val="20"/>
        </w:rPr>
      </w:pPr>
    </w:p>
    <w:p w:rsidR="00F17F66" w:rsidRDefault="00F17F66" w:rsidP="00ED4731">
      <w:pPr>
        <w:spacing w:after="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13. </w:t>
      </w:r>
      <w:r>
        <w:rPr>
          <w:rStyle w:val="Strong"/>
          <w:rFonts w:ascii="Verdana" w:hAnsi="Verdana" w:cstheme="minorHAnsi"/>
          <w:color w:val="95B3D7" w:themeColor="accent1" w:themeTint="99"/>
          <w:sz w:val="20"/>
          <w:szCs w:val="20"/>
        </w:rPr>
        <w:tab/>
        <w:t>Tangible assets</w:t>
      </w:r>
    </w:p>
    <w:p w:rsidR="0025236C" w:rsidRDefault="0025236C" w:rsidP="00ED4731">
      <w:pPr>
        <w:spacing w:after="0"/>
        <w:jc w:val="both"/>
        <w:rPr>
          <w:rStyle w:val="Strong"/>
          <w:rFonts w:ascii="Verdana" w:hAnsi="Verdana" w:cstheme="minorHAnsi"/>
          <w:color w:val="95B3D7" w:themeColor="accent1" w:themeTint="99"/>
          <w:sz w:val="20"/>
          <w:szCs w:val="20"/>
        </w:rPr>
      </w:pPr>
    </w:p>
    <w:p w:rsidR="00F17F66" w:rsidRDefault="00521A13" w:rsidP="00B42454">
      <w:pPr>
        <w:jc w:val="both"/>
        <w:rPr>
          <w:rStyle w:val="Strong"/>
          <w:rFonts w:ascii="Verdana" w:hAnsi="Verdana" w:cstheme="minorHAnsi"/>
          <w:color w:val="95B3D7" w:themeColor="accent1" w:themeTint="99"/>
          <w:sz w:val="20"/>
          <w:szCs w:val="20"/>
        </w:rPr>
      </w:pPr>
      <w:r w:rsidRPr="00521A13">
        <w:rPr>
          <w:rStyle w:val="Strong"/>
          <w:b w:val="0"/>
          <w:bCs w:val="0"/>
          <w:noProof/>
          <w:lang w:val="da-DK" w:eastAsia="da-DK"/>
        </w:rPr>
        <w:drawing>
          <wp:inline distT="0" distB="0" distL="0" distR="0">
            <wp:extent cx="6300470" cy="2221934"/>
            <wp:effectExtent l="0" t="0" r="508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0470" cy="2221934"/>
                    </a:xfrm>
                    <a:prstGeom prst="rect">
                      <a:avLst/>
                    </a:prstGeom>
                    <a:noFill/>
                    <a:ln>
                      <a:noFill/>
                    </a:ln>
                  </pic:spPr>
                </pic:pic>
              </a:graphicData>
            </a:graphic>
          </wp:inline>
        </w:drawing>
      </w:r>
    </w:p>
    <w:p w:rsidR="00F17F66" w:rsidRPr="00F17F66" w:rsidRDefault="00F17F66" w:rsidP="00B42454">
      <w:pPr>
        <w:jc w:val="both"/>
        <w:rPr>
          <w:rStyle w:val="Strong"/>
          <w:rFonts w:ascii="Verdana" w:hAnsi="Verdana" w:cstheme="minorHAnsi"/>
          <w:b w:val="0"/>
          <w:sz w:val="20"/>
          <w:szCs w:val="20"/>
        </w:rPr>
      </w:pPr>
      <w:r w:rsidRPr="00F17F66">
        <w:rPr>
          <w:rStyle w:val="Strong"/>
          <w:rFonts w:ascii="Verdana" w:hAnsi="Verdana" w:cstheme="minorHAnsi"/>
          <w:b w:val="0"/>
          <w:sz w:val="20"/>
          <w:szCs w:val="20"/>
        </w:rPr>
        <w:t xml:space="preserve">The carrying amount of vessels pledged as security </w:t>
      </w:r>
      <w:r>
        <w:rPr>
          <w:rStyle w:val="Strong"/>
          <w:rFonts w:ascii="Verdana" w:hAnsi="Verdana" w:cstheme="minorHAnsi"/>
          <w:b w:val="0"/>
          <w:sz w:val="20"/>
          <w:szCs w:val="20"/>
        </w:rPr>
        <w:t xml:space="preserve">for finance loans in the </w:t>
      </w:r>
      <w:r w:rsidRPr="00F17F66">
        <w:rPr>
          <w:rStyle w:val="Strong"/>
          <w:rFonts w:ascii="Verdana" w:hAnsi="Verdana" w:cstheme="minorHAnsi"/>
          <w:b w:val="0"/>
          <w:sz w:val="20"/>
          <w:szCs w:val="20"/>
        </w:rPr>
        <w:t>Company</w:t>
      </w:r>
      <w:r w:rsidR="00EB6AC0">
        <w:rPr>
          <w:rStyle w:val="Strong"/>
          <w:rFonts w:ascii="Verdana" w:hAnsi="Verdana" w:cstheme="minorHAnsi"/>
          <w:b w:val="0"/>
          <w:sz w:val="20"/>
          <w:szCs w:val="20"/>
        </w:rPr>
        <w:t xml:space="preserve"> and the Group</w:t>
      </w:r>
      <w:r w:rsidRPr="00F17F66">
        <w:rPr>
          <w:rStyle w:val="Strong"/>
          <w:rFonts w:ascii="Verdana" w:hAnsi="Verdana" w:cstheme="minorHAnsi"/>
          <w:b w:val="0"/>
          <w:sz w:val="20"/>
          <w:szCs w:val="20"/>
        </w:rPr>
        <w:t xml:space="preserve"> </w:t>
      </w:r>
      <w:r w:rsidR="005658DE">
        <w:rPr>
          <w:rStyle w:val="Strong"/>
          <w:rFonts w:ascii="Verdana" w:hAnsi="Verdana" w:cstheme="minorHAnsi"/>
          <w:b w:val="0"/>
          <w:sz w:val="20"/>
          <w:szCs w:val="20"/>
        </w:rPr>
        <w:t xml:space="preserve">is </w:t>
      </w:r>
      <w:r w:rsidRPr="00F17F66">
        <w:rPr>
          <w:rStyle w:val="Strong"/>
          <w:rFonts w:ascii="Verdana" w:hAnsi="Verdana" w:cstheme="minorHAnsi"/>
          <w:b w:val="0"/>
          <w:sz w:val="20"/>
          <w:szCs w:val="20"/>
        </w:rPr>
        <w:t>USD</w:t>
      </w:r>
      <w:r w:rsidR="00ED4731">
        <w:rPr>
          <w:rStyle w:val="Strong"/>
          <w:rFonts w:ascii="Verdana" w:hAnsi="Verdana" w:cstheme="minorHAnsi"/>
          <w:b w:val="0"/>
          <w:sz w:val="20"/>
          <w:szCs w:val="20"/>
        </w:rPr>
        <w:t xml:space="preserve"> 25.8</w:t>
      </w:r>
      <w:r w:rsidR="0025236C">
        <w:rPr>
          <w:rStyle w:val="Strong"/>
          <w:rFonts w:ascii="Verdana" w:hAnsi="Verdana" w:cstheme="minorHAnsi"/>
          <w:b w:val="0"/>
          <w:sz w:val="20"/>
          <w:szCs w:val="20"/>
        </w:rPr>
        <w:t xml:space="preserve"> </w:t>
      </w:r>
      <w:r>
        <w:rPr>
          <w:rStyle w:val="Strong"/>
          <w:rFonts w:ascii="Verdana" w:hAnsi="Verdana" w:cstheme="minorHAnsi"/>
          <w:b w:val="0"/>
          <w:sz w:val="20"/>
          <w:szCs w:val="20"/>
        </w:rPr>
        <w:t>million.</w:t>
      </w:r>
    </w:p>
    <w:p w:rsidR="0025236C" w:rsidRDefault="0025236C" w:rsidP="00B42454">
      <w:pPr>
        <w:jc w:val="both"/>
        <w:rPr>
          <w:rFonts w:ascii="Verdana" w:hAnsi="Verdana"/>
          <w:sz w:val="20"/>
          <w:szCs w:val="20"/>
        </w:rPr>
      </w:pPr>
      <w:r w:rsidRPr="0025236C">
        <w:rPr>
          <w:noProof/>
          <w:lang w:val="da-DK" w:eastAsia="da-DK"/>
        </w:rPr>
        <w:lastRenderedPageBreak/>
        <w:drawing>
          <wp:inline distT="0" distB="0" distL="0" distR="0" wp14:anchorId="7C2F487E" wp14:editId="3CFD137E">
            <wp:extent cx="6300470" cy="2226679"/>
            <wp:effectExtent l="0" t="0" r="508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0470" cy="2226679"/>
                    </a:xfrm>
                    <a:prstGeom prst="rect">
                      <a:avLst/>
                    </a:prstGeom>
                    <a:noFill/>
                    <a:ln>
                      <a:noFill/>
                    </a:ln>
                  </pic:spPr>
                </pic:pic>
              </a:graphicData>
            </a:graphic>
          </wp:inline>
        </w:drawing>
      </w:r>
    </w:p>
    <w:p w:rsidR="005658DE" w:rsidRPr="00F17F66" w:rsidRDefault="005658DE" w:rsidP="005658DE">
      <w:pPr>
        <w:jc w:val="both"/>
        <w:rPr>
          <w:rStyle w:val="Strong"/>
          <w:rFonts w:ascii="Verdana" w:hAnsi="Verdana" w:cstheme="minorHAnsi"/>
          <w:b w:val="0"/>
          <w:sz w:val="20"/>
          <w:szCs w:val="20"/>
        </w:rPr>
      </w:pPr>
      <w:r w:rsidRPr="00F17F66">
        <w:rPr>
          <w:rStyle w:val="Strong"/>
          <w:rFonts w:ascii="Verdana" w:hAnsi="Verdana" w:cstheme="minorHAnsi"/>
          <w:b w:val="0"/>
          <w:sz w:val="20"/>
          <w:szCs w:val="20"/>
        </w:rPr>
        <w:t xml:space="preserve">The carrying amount of vessels pledged as security </w:t>
      </w:r>
      <w:r>
        <w:rPr>
          <w:rStyle w:val="Strong"/>
          <w:rFonts w:ascii="Verdana" w:hAnsi="Verdana" w:cstheme="minorHAnsi"/>
          <w:b w:val="0"/>
          <w:sz w:val="20"/>
          <w:szCs w:val="20"/>
        </w:rPr>
        <w:t xml:space="preserve">for finance loans </w:t>
      </w:r>
      <w:r w:rsidR="00EB6AC0">
        <w:rPr>
          <w:rStyle w:val="Strong"/>
          <w:rFonts w:ascii="Verdana" w:hAnsi="Verdana" w:cstheme="minorHAnsi"/>
          <w:b w:val="0"/>
          <w:sz w:val="20"/>
          <w:szCs w:val="20"/>
        </w:rPr>
        <w:t xml:space="preserve">in the </w:t>
      </w:r>
      <w:r w:rsidR="00EB6AC0" w:rsidRPr="00F17F66">
        <w:rPr>
          <w:rStyle w:val="Strong"/>
          <w:rFonts w:ascii="Verdana" w:hAnsi="Verdana" w:cstheme="minorHAnsi"/>
          <w:b w:val="0"/>
          <w:sz w:val="20"/>
          <w:szCs w:val="20"/>
        </w:rPr>
        <w:t>Company</w:t>
      </w:r>
      <w:r w:rsidR="00EB6AC0">
        <w:rPr>
          <w:rStyle w:val="Strong"/>
          <w:rFonts w:ascii="Verdana" w:hAnsi="Verdana" w:cstheme="minorHAnsi"/>
          <w:b w:val="0"/>
          <w:sz w:val="20"/>
          <w:szCs w:val="20"/>
        </w:rPr>
        <w:t xml:space="preserve"> and the Group </w:t>
      </w:r>
      <w:r>
        <w:rPr>
          <w:rStyle w:val="Strong"/>
          <w:rFonts w:ascii="Verdana" w:hAnsi="Verdana" w:cstheme="minorHAnsi"/>
          <w:b w:val="0"/>
          <w:sz w:val="20"/>
          <w:szCs w:val="20"/>
        </w:rPr>
        <w:t xml:space="preserve">is </w:t>
      </w:r>
      <w:r w:rsidRPr="00F17F66">
        <w:rPr>
          <w:rStyle w:val="Strong"/>
          <w:rFonts w:ascii="Verdana" w:hAnsi="Verdana" w:cstheme="minorHAnsi"/>
          <w:b w:val="0"/>
          <w:sz w:val="20"/>
          <w:szCs w:val="20"/>
        </w:rPr>
        <w:t>USD</w:t>
      </w:r>
      <w:r w:rsidR="001035E3">
        <w:rPr>
          <w:rStyle w:val="Strong"/>
          <w:rFonts w:ascii="Verdana" w:hAnsi="Verdana" w:cstheme="minorHAnsi"/>
          <w:b w:val="0"/>
          <w:sz w:val="20"/>
          <w:szCs w:val="20"/>
        </w:rPr>
        <w:t xml:space="preserve"> </w:t>
      </w:r>
      <w:r>
        <w:rPr>
          <w:rStyle w:val="Strong"/>
          <w:rFonts w:ascii="Verdana" w:hAnsi="Verdana" w:cstheme="minorHAnsi"/>
          <w:b w:val="0"/>
          <w:sz w:val="20"/>
          <w:szCs w:val="20"/>
        </w:rPr>
        <w:t>118</w:t>
      </w:r>
      <w:r w:rsidR="001035E3">
        <w:rPr>
          <w:rStyle w:val="Strong"/>
          <w:rFonts w:ascii="Verdana" w:hAnsi="Verdana" w:cstheme="minorHAnsi"/>
          <w:b w:val="0"/>
          <w:sz w:val="20"/>
          <w:szCs w:val="20"/>
        </w:rPr>
        <w:t>.2</w:t>
      </w:r>
      <w:r>
        <w:rPr>
          <w:rStyle w:val="Strong"/>
          <w:rFonts w:ascii="Verdana" w:hAnsi="Verdana" w:cstheme="minorHAnsi"/>
          <w:b w:val="0"/>
          <w:sz w:val="20"/>
          <w:szCs w:val="20"/>
        </w:rPr>
        <w:t xml:space="preserve"> million.</w:t>
      </w:r>
    </w:p>
    <w:p w:rsidR="005658DE" w:rsidRDefault="0025236C" w:rsidP="00B42454">
      <w:pPr>
        <w:jc w:val="both"/>
        <w:rPr>
          <w:rFonts w:ascii="Verdana" w:hAnsi="Verdana"/>
          <w:sz w:val="20"/>
          <w:szCs w:val="20"/>
        </w:rPr>
      </w:pPr>
      <w:r w:rsidRPr="0025236C">
        <w:rPr>
          <w:noProof/>
          <w:lang w:val="da-DK" w:eastAsia="da-DK"/>
        </w:rPr>
        <w:drawing>
          <wp:inline distT="0" distB="0" distL="0" distR="0" wp14:anchorId="53E19D37" wp14:editId="11593C06">
            <wp:extent cx="6300470" cy="666843"/>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0470" cy="666843"/>
                    </a:xfrm>
                    <a:prstGeom prst="rect">
                      <a:avLst/>
                    </a:prstGeom>
                    <a:noFill/>
                    <a:ln>
                      <a:noFill/>
                    </a:ln>
                  </pic:spPr>
                </pic:pic>
              </a:graphicData>
            </a:graphic>
          </wp:inline>
        </w:drawing>
      </w:r>
    </w:p>
    <w:p w:rsidR="005658DE" w:rsidRDefault="0025236C" w:rsidP="00B42454">
      <w:pPr>
        <w:jc w:val="both"/>
        <w:rPr>
          <w:rFonts w:ascii="Verdana" w:hAnsi="Verdana"/>
          <w:sz w:val="20"/>
          <w:szCs w:val="20"/>
        </w:rPr>
      </w:pPr>
      <w:r w:rsidRPr="0025236C">
        <w:rPr>
          <w:noProof/>
          <w:lang w:val="da-DK" w:eastAsia="da-DK"/>
        </w:rPr>
        <w:drawing>
          <wp:inline distT="0" distB="0" distL="0" distR="0" wp14:anchorId="27605B04" wp14:editId="36908211">
            <wp:extent cx="6300470" cy="2675316"/>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0470" cy="2675316"/>
                    </a:xfrm>
                    <a:prstGeom prst="rect">
                      <a:avLst/>
                    </a:prstGeom>
                    <a:noFill/>
                    <a:ln>
                      <a:noFill/>
                    </a:ln>
                  </pic:spPr>
                </pic:pic>
              </a:graphicData>
            </a:graphic>
          </wp:inline>
        </w:drawing>
      </w:r>
    </w:p>
    <w:p w:rsidR="005658DE" w:rsidRPr="00F17F66" w:rsidRDefault="005658DE" w:rsidP="005658DE">
      <w:pPr>
        <w:jc w:val="both"/>
        <w:rPr>
          <w:rStyle w:val="Strong"/>
          <w:rFonts w:ascii="Verdana" w:hAnsi="Verdana" w:cstheme="minorHAnsi"/>
          <w:b w:val="0"/>
          <w:sz w:val="20"/>
          <w:szCs w:val="20"/>
        </w:rPr>
      </w:pPr>
      <w:r w:rsidRPr="00F17F66">
        <w:rPr>
          <w:rStyle w:val="Strong"/>
          <w:rFonts w:ascii="Verdana" w:hAnsi="Verdana" w:cstheme="minorHAnsi"/>
          <w:b w:val="0"/>
          <w:sz w:val="20"/>
          <w:szCs w:val="20"/>
        </w:rPr>
        <w:t xml:space="preserve">The carrying amount of vessels pledged as security </w:t>
      </w:r>
      <w:r>
        <w:rPr>
          <w:rStyle w:val="Strong"/>
          <w:rFonts w:ascii="Verdana" w:hAnsi="Verdana" w:cstheme="minorHAnsi"/>
          <w:b w:val="0"/>
          <w:sz w:val="20"/>
          <w:szCs w:val="20"/>
        </w:rPr>
        <w:t xml:space="preserve">for finance loans </w:t>
      </w:r>
      <w:r w:rsidR="00EB6AC0">
        <w:rPr>
          <w:rStyle w:val="Strong"/>
          <w:rFonts w:ascii="Verdana" w:hAnsi="Verdana" w:cstheme="minorHAnsi"/>
          <w:b w:val="0"/>
          <w:sz w:val="20"/>
          <w:szCs w:val="20"/>
        </w:rPr>
        <w:t xml:space="preserve">in the </w:t>
      </w:r>
      <w:r w:rsidR="00EB6AC0" w:rsidRPr="00F17F66">
        <w:rPr>
          <w:rStyle w:val="Strong"/>
          <w:rFonts w:ascii="Verdana" w:hAnsi="Verdana" w:cstheme="minorHAnsi"/>
          <w:b w:val="0"/>
          <w:sz w:val="20"/>
          <w:szCs w:val="20"/>
        </w:rPr>
        <w:t>Company</w:t>
      </w:r>
      <w:r w:rsidR="00EB6AC0">
        <w:rPr>
          <w:rStyle w:val="Strong"/>
          <w:rFonts w:ascii="Verdana" w:hAnsi="Verdana" w:cstheme="minorHAnsi"/>
          <w:b w:val="0"/>
          <w:sz w:val="20"/>
          <w:szCs w:val="20"/>
        </w:rPr>
        <w:t xml:space="preserve"> and the Group </w:t>
      </w:r>
      <w:r>
        <w:rPr>
          <w:rStyle w:val="Strong"/>
          <w:rFonts w:ascii="Verdana" w:hAnsi="Verdana" w:cstheme="minorHAnsi"/>
          <w:b w:val="0"/>
          <w:sz w:val="20"/>
          <w:szCs w:val="20"/>
        </w:rPr>
        <w:t>is</w:t>
      </w:r>
      <w:r w:rsidRPr="00F17F66">
        <w:rPr>
          <w:rStyle w:val="Strong"/>
          <w:rFonts w:ascii="Verdana" w:hAnsi="Verdana" w:cstheme="minorHAnsi"/>
          <w:b w:val="0"/>
          <w:sz w:val="20"/>
          <w:szCs w:val="20"/>
        </w:rPr>
        <w:t xml:space="preserve"> USD</w:t>
      </w:r>
      <w:r w:rsidR="001035E3">
        <w:rPr>
          <w:rStyle w:val="Strong"/>
          <w:rFonts w:ascii="Verdana" w:hAnsi="Verdana" w:cstheme="minorHAnsi"/>
          <w:b w:val="0"/>
          <w:sz w:val="20"/>
          <w:szCs w:val="20"/>
        </w:rPr>
        <w:t xml:space="preserve"> 26.9 </w:t>
      </w:r>
      <w:r>
        <w:rPr>
          <w:rStyle w:val="Strong"/>
          <w:rFonts w:ascii="Verdana" w:hAnsi="Verdana" w:cstheme="minorHAnsi"/>
          <w:b w:val="0"/>
          <w:sz w:val="20"/>
          <w:szCs w:val="20"/>
        </w:rPr>
        <w:t>million.</w:t>
      </w:r>
    </w:p>
    <w:p w:rsidR="00F17F66" w:rsidRDefault="0025236C" w:rsidP="00B42454">
      <w:pPr>
        <w:jc w:val="both"/>
        <w:rPr>
          <w:rFonts w:ascii="Verdana" w:hAnsi="Verdana"/>
          <w:sz w:val="20"/>
          <w:szCs w:val="20"/>
        </w:rPr>
      </w:pPr>
      <w:r w:rsidRPr="0025236C">
        <w:rPr>
          <w:noProof/>
          <w:lang w:val="da-DK" w:eastAsia="da-DK"/>
        </w:rPr>
        <w:lastRenderedPageBreak/>
        <w:drawing>
          <wp:inline distT="0" distB="0" distL="0" distR="0" wp14:anchorId="60DAA94E" wp14:editId="3F9DFB17">
            <wp:extent cx="6300470" cy="2644755"/>
            <wp:effectExtent l="0" t="0" r="508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0470" cy="2644755"/>
                    </a:xfrm>
                    <a:prstGeom prst="rect">
                      <a:avLst/>
                    </a:prstGeom>
                    <a:noFill/>
                    <a:ln>
                      <a:noFill/>
                    </a:ln>
                  </pic:spPr>
                </pic:pic>
              </a:graphicData>
            </a:graphic>
          </wp:inline>
        </w:drawing>
      </w:r>
    </w:p>
    <w:p w:rsidR="005658DE" w:rsidRDefault="005658DE" w:rsidP="00B42454">
      <w:pPr>
        <w:jc w:val="both"/>
        <w:rPr>
          <w:rFonts w:ascii="Verdana" w:hAnsi="Verdana"/>
          <w:sz w:val="20"/>
          <w:szCs w:val="20"/>
        </w:rPr>
      </w:pPr>
      <w:r w:rsidRPr="00F17F66">
        <w:rPr>
          <w:rStyle w:val="Strong"/>
          <w:rFonts w:ascii="Verdana" w:hAnsi="Verdana" w:cstheme="minorHAnsi"/>
          <w:b w:val="0"/>
          <w:sz w:val="20"/>
          <w:szCs w:val="20"/>
        </w:rPr>
        <w:t xml:space="preserve">The carrying amount of vessels pledged as security </w:t>
      </w:r>
      <w:r>
        <w:rPr>
          <w:rStyle w:val="Strong"/>
          <w:rFonts w:ascii="Verdana" w:hAnsi="Verdana" w:cstheme="minorHAnsi"/>
          <w:b w:val="0"/>
          <w:sz w:val="20"/>
          <w:szCs w:val="20"/>
        </w:rPr>
        <w:t xml:space="preserve">for finance loans </w:t>
      </w:r>
      <w:r w:rsidR="00EB6AC0">
        <w:rPr>
          <w:rStyle w:val="Strong"/>
          <w:rFonts w:ascii="Verdana" w:hAnsi="Verdana" w:cstheme="minorHAnsi"/>
          <w:b w:val="0"/>
          <w:sz w:val="20"/>
          <w:szCs w:val="20"/>
        </w:rPr>
        <w:t xml:space="preserve">in the </w:t>
      </w:r>
      <w:r w:rsidR="00EB6AC0" w:rsidRPr="00F17F66">
        <w:rPr>
          <w:rStyle w:val="Strong"/>
          <w:rFonts w:ascii="Verdana" w:hAnsi="Verdana" w:cstheme="minorHAnsi"/>
          <w:b w:val="0"/>
          <w:sz w:val="20"/>
          <w:szCs w:val="20"/>
        </w:rPr>
        <w:t>Company</w:t>
      </w:r>
      <w:r w:rsidR="00EB6AC0">
        <w:rPr>
          <w:rStyle w:val="Strong"/>
          <w:rFonts w:ascii="Verdana" w:hAnsi="Verdana" w:cstheme="minorHAnsi"/>
          <w:b w:val="0"/>
          <w:sz w:val="20"/>
          <w:szCs w:val="20"/>
        </w:rPr>
        <w:t xml:space="preserve"> and the Group </w:t>
      </w:r>
      <w:r>
        <w:rPr>
          <w:rStyle w:val="Strong"/>
          <w:rFonts w:ascii="Verdana" w:hAnsi="Verdana" w:cstheme="minorHAnsi"/>
          <w:b w:val="0"/>
          <w:sz w:val="20"/>
          <w:szCs w:val="20"/>
        </w:rPr>
        <w:t xml:space="preserve">is </w:t>
      </w:r>
      <w:r w:rsidRPr="00F17F66">
        <w:rPr>
          <w:rStyle w:val="Strong"/>
          <w:rFonts w:ascii="Verdana" w:hAnsi="Verdana" w:cstheme="minorHAnsi"/>
          <w:b w:val="0"/>
          <w:sz w:val="20"/>
          <w:szCs w:val="20"/>
        </w:rPr>
        <w:t>USD</w:t>
      </w:r>
      <w:r w:rsidR="001035E3">
        <w:rPr>
          <w:rStyle w:val="Strong"/>
          <w:rFonts w:ascii="Verdana" w:hAnsi="Verdana" w:cstheme="minorHAnsi"/>
          <w:b w:val="0"/>
          <w:sz w:val="20"/>
          <w:szCs w:val="20"/>
        </w:rPr>
        <w:t xml:space="preserve"> </w:t>
      </w:r>
      <w:r>
        <w:rPr>
          <w:rStyle w:val="Strong"/>
          <w:rFonts w:ascii="Verdana" w:hAnsi="Verdana" w:cstheme="minorHAnsi"/>
          <w:b w:val="0"/>
          <w:sz w:val="20"/>
          <w:szCs w:val="20"/>
        </w:rPr>
        <w:t>123</w:t>
      </w:r>
      <w:r w:rsidR="001035E3">
        <w:rPr>
          <w:rStyle w:val="Strong"/>
          <w:rFonts w:ascii="Verdana" w:hAnsi="Verdana" w:cstheme="minorHAnsi"/>
          <w:b w:val="0"/>
          <w:sz w:val="20"/>
          <w:szCs w:val="20"/>
        </w:rPr>
        <w:t>.0</w:t>
      </w:r>
      <w:r w:rsidR="00FA411A">
        <w:rPr>
          <w:rStyle w:val="Strong"/>
          <w:rFonts w:ascii="Verdana" w:hAnsi="Verdana" w:cstheme="minorHAnsi"/>
          <w:b w:val="0"/>
          <w:sz w:val="20"/>
          <w:szCs w:val="20"/>
        </w:rPr>
        <w:t xml:space="preserve"> </w:t>
      </w:r>
      <w:r>
        <w:rPr>
          <w:rStyle w:val="Strong"/>
          <w:rFonts w:ascii="Verdana" w:hAnsi="Verdana" w:cstheme="minorHAnsi"/>
          <w:b w:val="0"/>
          <w:sz w:val="20"/>
          <w:szCs w:val="20"/>
        </w:rPr>
        <w:t>million.</w:t>
      </w:r>
    </w:p>
    <w:p w:rsidR="005658DE" w:rsidRPr="00B42454" w:rsidRDefault="00FA411A" w:rsidP="00B42454">
      <w:pPr>
        <w:jc w:val="both"/>
        <w:rPr>
          <w:rFonts w:ascii="Verdana" w:hAnsi="Verdana"/>
          <w:sz w:val="20"/>
          <w:szCs w:val="20"/>
        </w:rPr>
      </w:pPr>
      <w:r w:rsidRPr="00FA411A">
        <w:rPr>
          <w:noProof/>
          <w:lang w:val="da-DK" w:eastAsia="da-DK"/>
        </w:rPr>
        <w:drawing>
          <wp:inline distT="0" distB="0" distL="0" distR="0" wp14:anchorId="2AB66E75" wp14:editId="33B854D3">
            <wp:extent cx="6300470" cy="1276841"/>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0470" cy="1276841"/>
                    </a:xfrm>
                    <a:prstGeom prst="rect">
                      <a:avLst/>
                    </a:prstGeom>
                    <a:noFill/>
                    <a:ln>
                      <a:noFill/>
                    </a:ln>
                  </pic:spPr>
                </pic:pic>
              </a:graphicData>
            </a:graphic>
          </wp:inline>
        </w:drawing>
      </w:r>
    </w:p>
    <w:p w:rsidR="00FA411A" w:rsidRDefault="00FA411A" w:rsidP="00FA411A">
      <w:pPr>
        <w:spacing w:after="0"/>
        <w:jc w:val="both"/>
        <w:rPr>
          <w:rStyle w:val="Strong"/>
          <w:rFonts w:ascii="Verdana" w:hAnsi="Verdana" w:cstheme="minorHAnsi"/>
          <w:color w:val="95B3D7" w:themeColor="accent1" w:themeTint="99"/>
          <w:sz w:val="20"/>
          <w:szCs w:val="20"/>
        </w:rPr>
      </w:pPr>
    </w:p>
    <w:p w:rsidR="003A42C5" w:rsidRDefault="003A42C5" w:rsidP="00FA411A">
      <w:pPr>
        <w:spacing w:after="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14. </w:t>
      </w:r>
      <w:r>
        <w:rPr>
          <w:rStyle w:val="Strong"/>
          <w:rFonts w:ascii="Verdana" w:hAnsi="Verdana" w:cstheme="minorHAnsi"/>
          <w:color w:val="95B3D7" w:themeColor="accent1" w:themeTint="99"/>
          <w:sz w:val="20"/>
          <w:szCs w:val="20"/>
        </w:rPr>
        <w:tab/>
        <w:t>Investments in subsidiaries</w:t>
      </w:r>
    </w:p>
    <w:p w:rsidR="00FA411A" w:rsidRDefault="00FA411A" w:rsidP="00FA411A">
      <w:pPr>
        <w:spacing w:after="0"/>
        <w:jc w:val="both"/>
      </w:pPr>
      <w:r w:rsidRPr="00FA411A">
        <w:rPr>
          <w:noProof/>
          <w:lang w:val="da-DK" w:eastAsia="da-DK"/>
        </w:rPr>
        <w:drawing>
          <wp:inline distT="0" distB="0" distL="0" distR="0" wp14:anchorId="419ADFB8" wp14:editId="6D85711B">
            <wp:extent cx="6300470" cy="2705877"/>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0470" cy="2705877"/>
                    </a:xfrm>
                    <a:prstGeom prst="rect">
                      <a:avLst/>
                    </a:prstGeom>
                    <a:noFill/>
                    <a:ln>
                      <a:noFill/>
                    </a:ln>
                  </pic:spPr>
                </pic:pic>
              </a:graphicData>
            </a:graphic>
          </wp:inline>
        </w:drawing>
      </w:r>
    </w:p>
    <w:p w:rsidR="003A42C5" w:rsidRDefault="003A42C5" w:rsidP="00015D2C">
      <w:pPr>
        <w:tabs>
          <w:tab w:val="left" w:pos="4050"/>
        </w:tabs>
      </w:pPr>
    </w:p>
    <w:p w:rsidR="00015D2C" w:rsidRDefault="00015D2C">
      <w:r>
        <w:br w:type="page"/>
      </w:r>
    </w:p>
    <w:p w:rsidR="00D862E9" w:rsidRDefault="00FA411A" w:rsidP="00FB69E8">
      <w:pPr>
        <w:jc w:val="both"/>
        <w:rPr>
          <w:rStyle w:val="Strong"/>
          <w:rFonts w:ascii="Verdana" w:hAnsi="Verdana" w:cstheme="minorHAnsi"/>
          <w:color w:val="95B3D7" w:themeColor="accent1" w:themeTint="99"/>
          <w:sz w:val="20"/>
          <w:szCs w:val="20"/>
        </w:rPr>
      </w:pPr>
      <w:r w:rsidRPr="00FA411A">
        <w:rPr>
          <w:rStyle w:val="Strong"/>
          <w:b w:val="0"/>
          <w:bCs w:val="0"/>
          <w:noProof/>
          <w:lang w:val="da-DK" w:eastAsia="da-DK"/>
        </w:rPr>
        <w:lastRenderedPageBreak/>
        <w:drawing>
          <wp:inline distT="0" distB="0" distL="0" distR="0" wp14:anchorId="3350FBCA" wp14:editId="44D84C46">
            <wp:extent cx="6300470" cy="3975773"/>
            <wp:effectExtent l="0" t="0" r="508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00470" cy="3975773"/>
                    </a:xfrm>
                    <a:prstGeom prst="rect">
                      <a:avLst/>
                    </a:prstGeom>
                    <a:noFill/>
                    <a:ln>
                      <a:noFill/>
                    </a:ln>
                  </pic:spPr>
                </pic:pic>
              </a:graphicData>
            </a:graphic>
          </wp:inline>
        </w:drawing>
      </w:r>
    </w:p>
    <w:p w:rsidR="00FA411A" w:rsidRDefault="00024769" w:rsidP="00FA411A">
      <w:pPr>
        <w:spacing w:after="0"/>
        <w:jc w:val="both"/>
        <w:rPr>
          <w:rStyle w:val="Strong"/>
          <w:rFonts w:ascii="Verdana" w:hAnsi="Verdana" w:cstheme="minorHAnsi"/>
          <w:color w:val="95B3D7" w:themeColor="accent1" w:themeTint="99"/>
          <w:sz w:val="20"/>
          <w:szCs w:val="20"/>
        </w:rPr>
      </w:pPr>
      <w:r w:rsidRPr="00024769">
        <w:rPr>
          <w:rStyle w:val="Strong"/>
          <w:b w:val="0"/>
          <w:bCs w:val="0"/>
          <w:noProof/>
          <w:lang w:val="da-DK" w:eastAsia="da-DK"/>
        </w:rPr>
        <w:drawing>
          <wp:inline distT="0" distB="0" distL="0" distR="0" wp14:anchorId="38F2F5BE" wp14:editId="5BCA4B78">
            <wp:extent cx="6300470" cy="2334169"/>
            <wp:effectExtent l="0" t="0" r="508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0470" cy="2334169"/>
                    </a:xfrm>
                    <a:prstGeom prst="rect">
                      <a:avLst/>
                    </a:prstGeom>
                    <a:noFill/>
                    <a:ln>
                      <a:noFill/>
                    </a:ln>
                  </pic:spPr>
                </pic:pic>
              </a:graphicData>
            </a:graphic>
          </wp:inline>
        </w:drawing>
      </w:r>
    </w:p>
    <w:p w:rsidR="00024769" w:rsidRDefault="00024769" w:rsidP="00FA411A">
      <w:pPr>
        <w:spacing w:after="0"/>
        <w:jc w:val="both"/>
        <w:rPr>
          <w:rStyle w:val="Strong"/>
          <w:rFonts w:ascii="Verdana" w:hAnsi="Verdana" w:cstheme="minorHAnsi"/>
          <w:color w:val="95B3D7" w:themeColor="accent1" w:themeTint="99"/>
          <w:sz w:val="20"/>
          <w:szCs w:val="20"/>
        </w:rPr>
      </w:pPr>
    </w:p>
    <w:p w:rsidR="00024769" w:rsidRDefault="00024769" w:rsidP="00FA411A">
      <w:pPr>
        <w:spacing w:after="0"/>
        <w:jc w:val="both"/>
        <w:rPr>
          <w:rStyle w:val="Strong"/>
          <w:rFonts w:ascii="Verdana" w:hAnsi="Verdana" w:cstheme="minorHAnsi"/>
          <w:color w:val="95B3D7" w:themeColor="accent1" w:themeTint="99"/>
          <w:sz w:val="20"/>
          <w:szCs w:val="20"/>
        </w:rPr>
      </w:pPr>
    </w:p>
    <w:p w:rsidR="00FB69E8" w:rsidRDefault="00FB69E8" w:rsidP="00FA411A">
      <w:pPr>
        <w:spacing w:after="0"/>
        <w:jc w:val="both"/>
      </w:pPr>
      <w:r>
        <w:rPr>
          <w:rStyle w:val="Strong"/>
          <w:rFonts w:ascii="Verdana" w:hAnsi="Verdana" w:cstheme="minorHAnsi"/>
          <w:color w:val="95B3D7" w:themeColor="accent1" w:themeTint="99"/>
          <w:sz w:val="20"/>
          <w:szCs w:val="20"/>
        </w:rPr>
        <w:t xml:space="preserve">15. </w:t>
      </w:r>
      <w:r>
        <w:rPr>
          <w:rStyle w:val="Strong"/>
          <w:rFonts w:ascii="Verdana" w:hAnsi="Verdana" w:cstheme="minorHAnsi"/>
          <w:color w:val="95B3D7" w:themeColor="accent1" w:themeTint="99"/>
          <w:sz w:val="20"/>
          <w:szCs w:val="20"/>
        </w:rPr>
        <w:tab/>
        <w:t>Trade receivables</w:t>
      </w:r>
    </w:p>
    <w:p w:rsidR="00FB69E8" w:rsidRDefault="00FA411A" w:rsidP="00015D2C">
      <w:pPr>
        <w:tabs>
          <w:tab w:val="left" w:pos="4050"/>
        </w:tabs>
      </w:pPr>
      <w:r w:rsidRPr="00FA411A">
        <w:rPr>
          <w:noProof/>
          <w:lang w:val="da-DK" w:eastAsia="da-DK"/>
        </w:rPr>
        <w:drawing>
          <wp:inline distT="0" distB="0" distL="0" distR="0" wp14:anchorId="7ABE2570" wp14:editId="6BAF3AA3">
            <wp:extent cx="6300470" cy="692514"/>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0470" cy="692514"/>
                    </a:xfrm>
                    <a:prstGeom prst="rect">
                      <a:avLst/>
                    </a:prstGeom>
                    <a:noFill/>
                    <a:ln>
                      <a:noFill/>
                    </a:ln>
                  </pic:spPr>
                </pic:pic>
              </a:graphicData>
            </a:graphic>
          </wp:inline>
        </w:drawing>
      </w:r>
    </w:p>
    <w:p w:rsidR="004B3605" w:rsidRPr="004B3605" w:rsidRDefault="004B3605" w:rsidP="00015D2C">
      <w:pPr>
        <w:tabs>
          <w:tab w:val="left" w:pos="4050"/>
        </w:tabs>
        <w:rPr>
          <w:rFonts w:ascii="Verdana" w:hAnsi="Verdana"/>
          <w:sz w:val="20"/>
          <w:szCs w:val="20"/>
        </w:rPr>
      </w:pPr>
      <w:r w:rsidRPr="004B3605">
        <w:rPr>
          <w:rFonts w:ascii="Verdana" w:hAnsi="Verdana"/>
          <w:sz w:val="20"/>
          <w:szCs w:val="20"/>
        </w:rPr>
        <w:t>The carrying amount corresponds to the fair value of the receivables.</w:t>
      </w:r>
    </w:p>
    <w:p w:rsidR="00101B49" w:rsidRDefault="00101B49" w:rsidP="00FA411A">
      <w:pPr>
        <w:spacing w:after="0"/>
        <w:jc w:val="both"/>
      </w:pPr>
    </w:p>
    <w:p w:rsidR="00024769" w:rsidRDefault="00024769" w:rsidP="00FA411A">
      <w:pPr>
        <w:spacing w:after="0"/>
        <w:jc w:val="both"/>
      </w:pPr>
    </w:p>
    <w:p w:rsidR="00024769" w:rsidRDefault="00024769" w:rsidP="00FA411A">
      <w:pPr>
        <w:spacing w:after="0"/>
        <w:jc w:val="both"/>
      </w:pPr>
    </w:p>
    <w:p w:rsidR="00024769" w:rsidRDefault="00024769" w:rsidP="00FA411A">
      <w:pPr>
        <w:spacing w:after="0"/>
        <w:jc w:val="both"/>
      </w:pPr>
    </w:p>
    <w:p w:rsidR="00024769" w:rsidRDefault="00024769" w:rsidP="00FA411A">
      <w:pPr>
        <w:spacing w:after="0"/>
        <w:jc w:val="both"/>
      </w:pPr>
    </w:p>
    <w:p w:rsidR="00101B49" w:rsidRDefault="00101B49" w:rsidP="00FA411A">
      <w:pPr>
        <w:spacing w:after="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lastRenderedPageBreak/>
        <w:t xml:space="preserve">16. </w:t>
      </w:r>
      <w:r>
        <w:rPr>
          <w:rStyle w:val="Strong"/>
          <w:rFonts w:ascii="Verdana" w:hAnsi="Verdana" w:cstheme="minorHAnsi"/>
          <w:color w:val="95B3D7" w:themeColor="accent1" w:themeTint="99"/>
          <w:sz w:val="20"/>
          <w:szCs w:val="20"/>
        </w:rPr>
        <w:tab/>
        <w:t>Receivables from related companies</w:t>
      </w:r>
    </w:p>
    <w:p w:rsidR="00101B49" w:rsidRDefault="00834615" w:rsidP="00101B49">
      <w:pPr>
        <w:jc w:val="both"/>
      </w:pPr>
      <w:r w:rsidRPr="00834615">
        <w:t xml:space="preserve"> </w:t>
      </w:r>
      <w:r w:rsidRPr="00834615">
        <w:rPr>
          <w:noProof/>
          <w:lang w:val="da-DK" w:eastAsia="da-DK"/>
        </w:rPr>
        <w:drawing>
          <wp:inline distT="0" distB="0" distL="0" distR="0" wp14:anchorId="4C03E8D8" wp14:editId="4D08719F">
            <wp:extent cx="6300470" cy="1184584"/>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00470" cy="1184584"/>
                    </a:xfrm>
                    <a:prstGeom prst="rect">
                      <a:avLst/>
                    </a:prstGeom>
                    <a:noFill/>
                    <a:ln>
                      <a:noFill/>
                    </a:ln>
                  </pic:spPr>
                </pic:pic>
              </a:graphicData>
            </a:graphic>
          </wp:inline>
        </w:drawing>
      </w:r>
    </w:p>
    <w:p w:rsidR="00702DD7" w:rsidRDefault="00101B49" w:rsidP="00101B49">
      <w:pPr>
        <w:jc w:val="both"/>
        <w:rPr>
          <w:rFonts w:ascii="Verdana" w:hAnsi="Verdana"/>
          <w:sz w:val="20"/>
          <w:szCs w:val="20"/>
        </w:rPr>
      </w:pPr>
      <w:r w:rsidRPr="00101B49">
        <w:rPr>
          <w:rFonts w:ascii="Verdana" w:hAnsi="Verdana"/>
          <w:sz w:val="20"/>
          <w:szCs w:val="20"/>
        </w:rPr>
        <w:t>As a precondition f</w:t>
      </w:r>
      <w:r w:rsidR="004141BB">
        <w:rPr>
          <w:rFonts w:ascii="Verdana" w:hAnsi="Verdana"/>
          <w:sz w:val="20"/>
          <w:szCs w:val="20"/>
        </w:rPr>
        <w:t>or the restructuring, the lending</w:t>
      </w:r>
      <w:r w:rsidRPr="00101B49">
        <w:rPr>
          <w:rFonts w:ascii="Verdana" w:hAnsi="Verdana"/>
          <w:sz w:val="20"/>
          <w:szCs w:val="20"/>
        </w:rPr>
        <w:t xml:space="preserve"> banks called</w:t>
      </w:r>
      <w:r w:rsidR="00FA411A">
        <w:rPr>
          <w:rFonts w:ascii="Verdana" w:hAnsi="Verdana"/>
          <w:sz w:val="20"/>
          <w:szCs w:val="20"/>
        </w:rPr>
        <w:t xml:space="preserve"> on</w:t>
      </w:r>
      <w:r w:rsidRPr="00101B49">
        <w:rPr>
          <w:rFonts w:ascii="Verdana" w:hAnsi="Verdana"/>
          <w:sz w:val="20"/>
          <w:szCs w:val="20"/>
        </w:rPr>
        <w:t xml:space="preserve"> the Company guaranty in order to transfer part of the loans from the Dutch subsidiaries to the</w:t>
      </w:r>
      <w:r>
        <w:rPr>
          <w:rFonts w:ascii="Verdana" w:hAnsi="Verdana"/>
          <w:sz w:val="20"/>
          <w:szCs w:val="20"/>
        </w:rPr>
        <w:t xml:space="preserve"> Company. A total amount of USD</w:t>
      </w:r>
      <w:r w:rsidR="00D862E9">
        <w:rPr>
          <w:rFonts w:ascii="Verdana" w:hAnsi="Verdana"/>
          <w:sz w:val="20"/>
          <w:szCs w:val="20"/>
        </w:rPr>
        <w:t xml:space="preserve"> </w:t>
      </w:r>
      <w:r w:rsidRPr="00101B49">
        <w:rPr>
          <w:rFonts w:ascii="Verdana" w:hAnsi="Verdana"/>
          <w:sz w:val="20"/>
          <w:szCs w:val="20"/>
        </w:rPr>
        <w:t>53.2 million was transferred from the Dutch subsidiaries to the Company by this call on the guaranty.</w:t>
      </w:r>
      <w:r w:rsidR="00702DD7">
        <w:rPr>
          <w:rFonts w:ascii="Verdana" w:hAnsi="Verdana"/>
          <w:sz w:val="20"/>
          <w:szCs w:val="20"/>
        </w:rPr>
        <w:t xml:space="preserve"> </w:t>
      </w:r>
    </w:p>
    <w:p w:rsidR="00101B49" w:rsidRDefault="00702DD7" w:rsidP="00854549">
      <w:pPr>
        <w:spacing w:after="0"/>
        <w:jc w:val="both"/>
        <w:rPr>
          <w:rFonts w:ascii="Verdana" w:hAnsi="Verdana"/>
          <w:sz w:val="20"/>
          <w:szCs w:val="20"/>
        </w:rPr>
      </w:pPr>
      <w:r>
        <w:rPr>
          <w:rFonts w:ascii="Verdana" w:hAnsi="Verdana"/>
          <w:sz w:val="20"/>
          <w:szCs w:val="20"/>
        </w:rPr>
        <w:t>F</w:t>
      </w:r>
      <w:r w:rsidR="00101B49" w:rsidRPr="00101B49">
        <w:rPr>
          <w:rFonts w:ascii="Verdana" w:hAnsi="Verdana"/>
          <w:sz w:val="20"/>
          <w:szCs w:val="20"/>
        </w:rPr>
        <w:t>or further information about the restructuring, please refer to Note 0.</w:t>
      </w:r>
    </w:p>
    <w:p w:rsidR="00854549" w:rsidRDefault="00854549" w:rsidP="00854549">
      <w:pPr>
        <w:spacing w:after="0"/>
        <w:jc w:val="both"/>
        <w:rPr>
          <w:rStyle w:val="Strong"/>
          <w:rFonts w:ascii="Verdana" w:hAnsi="Verdana" w:cstheme="minorHAnsi"/>
          <w:color w:val="95B3D7" w:themeColor="accent1" w:themeTint="99"/>
          <w:sz w:val="20"/>
          <w:szCs w:val="20"/>
        </w:rPr>
      </w:pPr>
    </w:p>
    <w:p w:rsidR="00854549" w:rsidRDefault="00854549" w:rsidP="00854549">
      <w:pPr>
        <w:spacing w:after="0"/>
        <w:jc w:val="both"/>
        <w:rPr>
          <w:rStyle w:val="Strong"/>
          <w:rFonts w:ascii="Verdana" w:hAnsi="Verdana" w:cstheme="minorHAnsi"/>
          <w:color w:val="95B3D7" w:themeColor="accent1" w:themeTint="99"/>
          <w:sz w:val="20"/>
          <w:szCs w:val="20"/>
        </w:rPr>
      </w:pPr>
    </w:p>
    <w:p w:rsidR="00247C2D" w:rsidRDefault="00247C2D" w:rsidP="00854549">
      <w:pPr>
        <w:spacing w:after="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17. </w:t>
      </w:r>
      <w:r>
        <w:rPr>
          <w:rStyle w:val="Strong"/>
          <w:rFonts w:ascii="Verdana" w:hAnsi="Verdana" w:cstheme="minorHAnsi"/>
          <w:color w:val="95B3D7" w:themeColor="accent1" w:themeTint="99"/>
          <w:sz w:val="20"/>
          <w:szCs w:val="20"/>
        </w:rPr>
        <w:tab/>
        <w:t>Other receivables</w:t>
      </w:r>
    </w:p>
    <w:p w:rsidR="00247C2D" w:rsidRDefault="00247C2D" w:rsidP="00247C2D">
      <w:pPr>
        <w:jc w:val="both"/>
        <w:rPr>
          <w:rStyle w:val="Strong"/>
          <w:rFonts w:ascii="Verdana" w:hAnsi="Verdana" w:cstheme="minorHAnsi"/>
          <w:color w:val="95B3D7" w:themeColor="accent1" w:themeTint="99"/>
          <w:sz w:val="20"/>
          <w:szCs w:val="20"/>
        </w:rPr>
      </w:pPr>
      <w:r w:rsidRPr="00247C2D">
        <w:rPr>
          <w:rStyle w:val="Strong"/>
          <w:b w:val="0"/>
          <w:bCs w:val="0"/>
          <w:noProof/>
          <w:lang w:val="da-DK" w:eastAsia="da-DK"/>
        </w:rPr>
        <w:drawing>
          <wp:inline distT="0" distB="0" distL="0" distR="0" wp14:anchorId="57FBC1B8" wp14:editId="70438B54">
            <wp:extent cx="6511925" cy="1029860"/>
            <wp:effectExtent l="0" t="0" r="317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11925" cy="1029860"/>
                    </a:xfrm>
                    <a:prstGeom prst="rect">
                      <a:avLst/>
                    </a:prstGeom>
                    <a:noFill/>
                    <a:ln>
                      <a:noFill/>
                    </a:ln>
                  </pic:spPr>
                </pic:pic>
              </a:graphicData>
            </a:graphic>
          </wp:inline>
        </w:drawing>
      </w:r>
    </w:p>
    <w:p w:rsidR="00247C2D" w:rsidRDefault="00247C2D" w:rsidP="00247C2D">
      <w:pPr>
        <w:jc w:val="both"/>
        <w:rPr>
          <w:rStyle w:val="Strong"/>
          <w:rFonts w:ascii="Verdana" w:hAnsi="Verdana" w:cstheme="minorHAnsi"/>
          <w:b w:val="0"/>
          <w:sz w:val="20"/>
          <w:szCs w:val="20"/>
        </w:rPr>
      </w:pPr>
      <w:r w:rsidRPr="00247C2D">
        <w:rPr>
          <w:rStyle w:val="Strong"/>
          <w:rFonts w:ascii="Verdana" w:hAnsi="Verdana" w:cstheme="minorHAnsi"/>
          <w:b w:val="0"/>
          <w:sz w:val="20"/>
          <w:szCs w:val="20"/>
        </w:rPr>
        <w:t>The carrying amount corresponds to the fair value of the receivables.</w:t>
      </w:r>
      <w:r w:rsidR="00854549">
        <w:rPr>
          <w:rStyle w:val="Strong"/>
          <w:rFonts w:ascii="Verdana" w:hAnsi="Verdana" w:cstheme="minorHAnsi"/>
          <w:b w:val="0"/>
          <w:sz w:val="20"/>
          <w:szCs w:val="20"/>
        </w:rPr>
        <w:t xml:space="preserve"> As at 31 December 2013, the other receivables at Group includes insurance receivable of USD 1.7 million for the repair of Nordic Ruth.</w:t>
      </w: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Default="00D34541" w:rsidP="00247C2D">
      <w:pPr>
        <w:jc w:val="both"/>
        <w:rPr>
          <w:rStyle w:val="Strong"/>
          <w:rFonts w:ascii="Verdana" w:hAnsi="Verdana" w:cstheme="minorHAnsi"/>
          <w:b w:val="0"/>
          <w:sz w:val="20"/>
          <w:szCs w:val="20"/>
        </w:rPr>
      </w:pPr>
    </w:p>
    <w:p w:rsidR="00D34541" w:rsidRPr="00247C2D" w:rsidRDefault="00D34541" w:rsidP="00247C2D">
      <w:pPr>
        <w:jc w:val="both"/>
        <w:rPr>
          <w:rStyle w:val="Strong"/>
          <w:rFonts w:ascii="Verdana" w:hAnsi="Verdana" w:cstheme="minorHAnsi"/>
          <w:b w:val="0"/>
          <w:sz w:val="20"/>
          <w:szCs w:val="20"/>
        </w:rPr>
      </w:pPr>
    </w:p>
    <w:p w:rsidR="00247C2D" w:rsidRDefault="00247C2D" w:rsidP="00247C2D">
      <w:pPr>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lastRenderedPageBreak/>
        <w:t xml:space="preserve">18. </w:t>
      </w:r>
      <w:r>
        <w:rPr>
          <w:rStyle w:val="Strong"/>
          <w:rFonts w:ascii="Verdana" w:hAnsi="Verdana" w:cstheme="minorHAnsi"/>
          <w:color w:val="95B3D7" w:themeColor="accent1" w:themeTint="99"/>
          <w:sz w:val="20"/>
          <w:szCs w:val="20"/>
        </w:rPr>
        <w:tab/>
        <w:t>Financial risks and financial instruments</w:t>
      </w:r>
    </w:p>
    <w:p w:rsidR="00247C2D" w:rsidRDefault="00247C2D" w:rsidP="00247C2D">
      <w:pPr>
        <w:jc w:val="both"/>
        <w:rPr>
          <w:rStyle w:val="Strong"/>
          <w:rFonts w:ascii="Verdana" w:hAnsi="Verdana" w:cstheme="minorHAnsi"/>
          <w:sz w:val="20"/>
          <w:szCs w:val="20"/>
        </w:rPr>
      </w:pPr>
      <w:r w:rsidRPr="00247C2D">
        <w:rPr>
          <w:rStyle w:val="Strong"/>
          <w:rFonts w:ascii="Verdana" w:hAnsi="Verdana" w:cstheme="minorHAnsi"/>
          <w:sz w:val="20"/>
          <w:szCs w:val="20"/>
        </w:rPr>
        <w:t>Foreign exchange, interest rate and credit risks and application of financial instruments</w:t>
      </w:r>
    </w:p>
    <w:p w:rsidR="002562DF" w:rsidRPr="00247C2D" w:rsidRDefault="002562DF" w:rsidP="00247C2D">
      <w:pPr>
        <w:jc w:val="both"/>
        <w:rPr>
          <w:rStyle w:val="Strong"/>
          <w:rFonts w:ascii="Verdana" w:hAnsi="Verdana" w:cstheme="minorHAnsi"/>
          <w:sz w:val="20"/>
          <w:szCs w:val="20"/>
        </w:rPr>
      </w:pPr>
      <w:r>
        <w:rPr>
          <w:rStyle w:val="Strong"/>
          <w:rFonts w:ascii="Verdana" w:hAnsi="Verdana" w:cstheme="minorHAnsi"/>
          <w:sz w:val="20"/>
          <w:szCs w:val="20"/>
        </w:rPr>
        <w:t>Classification of financial instruments</w:t>
      </w:r>
    </w:p>
    <w:p w:rsidR="00247C2D" w:rsidRDefault="008A5E1E" w:rsidP="00247C2D">
      <w:pPr>
        <w:jc w:val="both"/>
        <w:rPr>
          <w:rStyle w:val="Strong"/>
          <w:rFonts w:ascii="Verdana" w:hAnsi="Verdana" w:cstheme="minorHAnsi"/>
          <w:color w:val="95B3D7" w:themeColor="accent1" w:themeTint="99"/>
          <w:sz w:val="20"/>
          <w:szCs w:val="20"/>
        </w:rPr>
      </w:pPr>
      <w:r w:rsidRPr="008A5E1E">
        <w:rPr>
          <w:rStyle w:val="Strong"/>
          <w:b w:val="0"/>
          <w:bCs w:val="0"/>
          <w:noProof/>
          <w:lang w:val="da-DK" w:eastAsia="da-DK"/>
        </w:rPr>
        <w:drawing>
          <wp:inline distT="0" distB="0" distL="0" distR="0" wp14:anchorId="6A450D66" wp14:editId="761FF3DE">
            <wp:extent cx="6300470" cy="3718897"/>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0470" cy="3718897"/>
                    </a:xfrm>
                    <a:prstGeom prst="rect">
                      <a:avLst/>
                    </a:prstGeom>
                    <a:noFill/>
                    <a:ln>
                      <a:noFill/>
                    </a:ln>
                  </pic:spPr>
                </pic:pic>
              </a:graphicData>
            </a:graphic>
          </wp:inline>
        </w:drawing>
      </w:r>
    </w:p>
    <w:p w:rsidR="00247C2D" w:rsidRPr="00E6166E" w:rsidRDefault="00247C2D" w:rsidP="00247C2D">
      <w:pPr>
        <w:jc w:val="both"/>
        <w:rPr>
          <w:rStyle w:val="Strong"/>
          <w:rFonts w:ascii="Verdana" w:hAnsi="Verdana" w:cstheme="minorHAnsi"/>
          <w:sz w:val="20"/>
          <w:szCs w:val="20"/>
        </w:rPr>
      </w:pPr>
      <w:r w:rsidRPr="00E6166E">
        <w:rPr>
          <w:rStyle w:val="Strong"/>
          <w:rFonts w:ascii="Verdana" w:hAnsi="Verdana" w:cstheme="minorHAnsi"/>
          <w:sz w:val="20"/>
          <w:szCs w:val="20"/>
        </w:rPr>
        <w:t>Fair value hierarchy for financial instruments measured at fair value in the balance sheet</w:t>
      </w:r>
    </w:p>
    <w:p w:rsidR="00247C2D" w:rsidRPr="00247C2D" w:rsidRDefault="00247C2D" w:rsidP="00E6166E">
      <w:pPr>
        <w:spacing w:after="0"/>
        <w:jc w:val="both"/>
        <w:rPr>
          <w:rStyle w:val="Strong"/>
          <w:rFonts w:ascii="Verdana" w:hAnsi="Verdana" w:cstheme="minorHAnsi"/>
          <w:b w:val="0"/>
          <w:sz w:val="20"/>
          <w:szCs w:val="20"/>
        </w:rPr>
      </w:pPr>
      <w:r w:rsidRPr="00247C2D">
        <w:rPr>
          <w:rStyle w:val="Strong"/>
          <w:rFonts w:ascii="Verdana" w:hAnsi="Verdana" w:cstheme="minorHAnsi"/>
          <w:b w:val="0"/>
          <w:sz w:val="20"/>
          <w:szCs w:val="20"/>
        </w:rPr>
        <w:t>Financial instruments measured at fair value are classified below in accordance with the fair value hierarchy:</w:t>
      </w:r>
    </w:p>
    <w:p w:rsidR="00247C2D" w:rsidRPr="00247C2D" w:rsidRDefault="00247C2D" w:rsidP="00E6166E">
      <w:pPr>
        <w:spacing w:after="0"/>
        <w:ind w:left="540" w:hanging="540"/>
        <w:jc w:val="both"/>
        <w:rPr>
          <w:rStyle w:val="Strong"/>
          <w:rFonts w:ascii="Verdana" w:hAnsi="Verdana" w:cstheme="minorHAnsi"/>
          <w:b w:val="0"/>
          <w:sz w:val="20"/>
          <w:szCs w:val="20"/>
        </w:rPr>
      </w:pPr>
      <w:r w:rsidRPr="00247C2D">
        <w:rPr>
          <w:rStyle w:val="Strong"/>
          <w:rFonts w:ascii="Verdana" w:hAnsi="Verdana" w:cstheme="minorHAnsi"/>
          <w:b w:val="0"/>
          <w:sz w:val="20"/>
          <w:szCs w:val="20"/>
        </w:rPr>
        <w:t xml:space="preserve">• </w:t>
      </w:r>
      <w:r w:rsidR="00E6166E">
        <w:rPr>
          <w:rStyle w:val="Strong"/>
          <w:rFonts w:ascii="Verdana" w:hAnsi="Verdana" w:cstheme="minorHAnsi"/>
          <w:b w:val="0"/>
          <w:sz w:val="20"/>
          <w:szCs w:val="20"/>
        </w:rPr>
        <w:tab/>
      </w:r>
      <w:r w:rsidRPr="00247C2D">
        <w:rPr>
          <w:rStyle w:val="Strong"/>
          <w:rFonts w:ascii="Verdana" w:hAnsi="Verdana" w:cstheme="minorHAnsi"/>
          <w:b w:val="0"/>
          <w:sz w:val="20"/>
          <w:szCs w:val="20"/>
        </w:rPr>
        <w:t>Quoted prices in an active market for identical instruments (level 1).</w:t>
      </w:r>
    </w:p>
    <w:p w:rsidR="00247C2D" w:rsidRPr="00247C2D" w:rsidRDefault="00247C2D" w:rsidP="00E6166E">
      <w:pPr>
        <w:spacing w:after="0"/>
        <w:ind w:left="540" w:hanging="540"/>
        <w:jc w:val="both"/>
        <w:rPr>
          <w:rStyle w:val="Strong"/>
          <w:rFonts w:ascii="Verdana" w:hAnsi="Verdana" w:cstheme="minorHAnsi"/>
          <w:b w:val="0"/>
          <w:sz w:val="20"/>
          <w:szCs w:val="20"/>
        </w:rPr>
      </w:pPr>
      <w:r w:rsidRPr="00247C2D">
        <w:rPr>
          <w:rStyle w:val="Strong"/>
          <w:rFonts w:ascii="Verdana" w:hAnsi="Verdana" w:cstheme="minorHAnsi"/>
          <w:b w:val="0"/>
          <w:sz w:val="20"/>
          <w:szCs w:val="20"/>
        </w:rPr>
        <w:t xml:space="preserve">• </w:t>
      </w:r>
      <w:r w:rsidR="00E6166E">
        <w:rPr>
          <w:rStyle w:val="Strong"/>
          <w:rFonts w:ascii="Verdana" w:hAnsi="Verdana" w:cstheme="minorHAnsi"/>
          <w:b w:val="0"/>
          <w:sz w:val="20"/>
          <w:szCs w:val="20"/>
        </w:rPr>
        <w:tab/>
      </w:r>
      <w:r w:rsidRPr="00247C2D">
        <w:rPr>
          <w:rStyle w:val="Strong"/>
          <w:rFonts w:ascii="Verdana" w:hAnsi="Verdana" w:cstheme="minorHAnsi"/>
          <w:b w:val="0"/>
          <w:sz w:val="20"/>
          <w:szCs w:val="20"/>
        </w:rPr>
        <w:t>Quoted prices in an active market for similar assets or liabilities or other valuation methods where all significant inputs are based on observable market data (level 2).</w:t>
      </w:r>
    </w:p>
    <w:p w:rsidR="00247C2D" w:rsidRPr="00247C2D" w:rsidRDefault="00247C2D" w:rsidP="00E6166E">
      <w:pPr>
        <w:spacing w:after="0"/>
        <w:ind w:left="540" w:hanging="540"/>
        <w:jc w:val="both"/>
        <w:rPr>
          <w:rStyle w:val="Strong"/>
          <w:rFonts w:ascii="Verdana" w:hAnsi="Verdana" w:cstheme="minorHAnsi"/>
          <w:b w:val="0"/>
          <w:sz w:val="20"/>
          <w:szCs w:val="20"/>
        </w:rPr>
      </w:pPr>
      <w:r w:rsidRPr="00247C2D">
        <w:rPr>
          <w:rStyle w:val="Strong"/>
          <w:rFonts w:ascii="Verdana" w:hAnsi="Verdana" w:cstheme="minorHAnsi"/>
          <w:b w:val="0"/>
          <w:sz w:val="20"/>
          <w:szCs w:val="20"/>
        </w:rPr>
        <w:t xml:space="preserve">• </w:t>
      </w:r>
      <w:r w:rsidR="00E6166E">
        <w:rPr>
          <w:rStyle w:val="Strong"/>
          <w:rFonts w:ascii="Verdana" w:hAnsi="Verdana" w:cstheme="minorHAnsi"/>
          <w:b w:val="0"/>
          <w:sz w:val="20"/>
          <w:szCs w:val="20"/>
        </w:rPr>
        <w:tab/>
      </w:r>
      <w:r w:rsidRPr="00247C2D">
        <w:rPr>
          <w:rStyle w:val="Strong"/>
          <w:rFonts w:ascii="Verdana" w:hAnsi="Verdana" w:cstheme="minorHAnsi"/>
          <w:b w:val="0"/>
          <w:sz w:val="20"/>
          <w:szCs w:val="20"/>
        </w:rPr>
        <w:t>Valuation methods where any significant inputs are not based on observable market data (level 3).</w:t>
      </w:r>
    </w:p>
    <w:p w:rsidR="00247C2D" w:rsidRDefault="00247C2D" w:rsidP="00247C2D">
      <w:pPr>
        <w:jc w:val="both"/>
        <w:rPr>
          <w:rStyle w:val="Strong"/>
          <w:rFonts w:ascii="Verdana" w:hAnsi="Verdana" w:cstheme="minorHAnsi"/>
          <w:color w:val="95B3D7" w:themeColor="accent1" w:themeTint="99"/>
          <w:sz w:val="20"/>
          <w:szCs w:val="20"/>
        </w:rPr>
      </w:pPr>
    </w:p>
    <w:p w:rsidR="00247C2D" w:rsidRPr="004E35DC" w:rsidRDefault="00E6166E" w:rsidP="00E6166E">
      <w:pPr>
        <w:spacing w:after="0" w:line="240" w:lineRule="auto"/>
        <w:jc w:val="both"/>
        <w:rPr>
          <w:rFonts w:ascii="Verdana" w:hAnsi="Verdana"/>
          <w:b/>
          <w:sz w:val="20"/>
          <w:szCs w:val="20"/>
        </w:rPr>
      </w:pPr>
      <w:r w:rsidRPr="004E35DC">
        <w:rPr>
          <w:rFonts w:ascii="Verdana" w:hAnsi="Verdana"/>
          <w:b/>
          <w:sz w:val="20"/>
          <w:szCs w:val="20"/>
        </w:rPr>
        <w:t>Methods and assumptions in determining fair value</w:t>
      </w:r>
    </w:p>
    <w:p w:rsidR="00E6166E" w:rsidRPr="004E35DC" w:rsidRDefault="00E6166E" w:rsidP="00E6166E">
      <w:pPr>
        <w:spacing w:after="0" w:line="240" w:lineRule="auto"/>
        <w:jc w:val="both"/>
        <w:rPr>
          <w:rFonts w:ascii="Verdana" w:hAnsi="Verdana"/>
          <w:b/>
          <w:sz w:val="20"/>
          <w:szCs w:val="20"/>
        </w:rPr>
      </w:pPr>
    </w:p>
    <w:p w:rsidR="00E6166E" w:rsidRPr="004E35DC" w:rsidRDefault="00E6166E" w:rsidP="00E6166E">
      <w:pPr>
        <w:spacing w:after="0" w:line="240" w:lineRule="auto"/>
        <w:jc w:val="both"/>
        <w:rPr>
          <w:rFonts w:ascii="Verdana" w:hAnsi="Verdana"/>
          <w:i/>
          <w:sz w:val="20"/>
          <w:szCs w:val="20"/>
        </w:rPr>
      </w:pPr>
      <w:r w:rsidRPr="004E35DC">
        <w:rPr>
          <w:rFonts w:ascii="Verdana" w:hAnsi="Verdana"/>
          <w:i/>
          <w:sz w:val="20"/>
          <w:szCs w:val="20"/>
        </w:rPr>
        <w:t>Other shares:</w:t>
      </w:r>
    </w:p>
    <w:p w:rsidR="00E6166E" w:rsidRDefault="00E6166E" w:rsidP="00E6166E">
      <w:pPr>
        <w:spacing w:after="0" w:line="240" w:lineRule="auto"/>
        <w:jc w:val="both"/>
        <w:rPr>
          <w:rFonts w:ascii="Verdana" w:hAnsi="Verdana"/>
          <w:sz w:val="20"/>
          <w:szCs w:val="20"/>
        </w:rPr>
      </w:pPr>
      <w:r w:rsidRPr="004E35DC">
        <w:rPr>
          <w:rFonts w:ascii="Verdana" w:hAnsi="Verdana"/>
          <w:sz w:val="20"/>
          <w:szCs w:val="20"/>
        </w:rPr>
        <w:t>Other shares are measured at fair value by applying valuation methods.</w:t>
      </w:r>
    </w:p>
    <w:p w:rsidR="00841564" w:rsidRPr="004E35DC" w:rsidRDefault="00841564" w:rsidP="00E6166E">
      <w:pPr>
        <w:spacing w:after="0" w:line="240" w:lineRule="auto"/>
        <w:jc w:val="both"/>
        <w:rPr>
          <w:rFonts w:ascii="Verdana" w:hAnsi="Verdana"/>
          <w:sz w:val="20"/>
          <w:szCs w:val="20"/>
        </w:rPr>
      </w:pPr>
    </w:p>
    <w:p w:rsidR="00E6166E" w:rsidRPr="004E35DC" w:rsidRDefault="00E6166E" w:rsidP="00E6166E">
      <w:pPr>
        <w:spacing w:after="0" w:line="240" w:lineRule="auto"/>
        <w:jc w:val="both"/>
        <w:rPr>
          <w:rFonts w:ascii="Verdana" w:hAnsi="Verdana"/>
          <w:i/>
          <w:sz w:val="20"/>
          <w:szCs w:val="20"/>
        </w:rPr>
      </w:pPr>
      <w:r w:rsidRPr="004E35DC">
        <w:rPr>
          <w:rFonts w:ascii="Verdana" w:hAnsi="Verdana"/>
          <w:i/>
          <w:sz w:val="20"/>
          <w:szCs w:val="20"/>
        </w:rPr>
        <w:t>Derivative financial instruments:</w:t>
      </w:r>
    </w:p>
    <w:p w:rsidR="00E6166E" w:rsidRPr="004E35DC" w:rsidRDefault="00E6166E" w:rsidP="00E6166E">
      <w:pPr>
        <w:spacing w:after="0" w:line="240" w:lineRule="auto"/>
        <w:jc w:val="both"/>
        <w:rPr>
          <w:rFonts w:ascii="Verdana" w:hAnsi="Verdana"/>
          <w:sz w:val="20"/>
          <w:szCs w:val="20"/>
        </w:rPr>
      </w:pPr>
      <w:r w:rsidRPr="004E35DC">
        <w:rPr>
          <w:rFonts w:ascii="Verdana" w:hAnsi="Verdana"/>
          <w:sz w:val="20"/>
          <w:szCs w:val="20"/>
        </w:rPr>
        <w:t>Interest rate swaps are measured according to generally accepted valuation methods based on relevant observable swap curves and exchange rates.</w:t>
      </w:r>
    </w:p>
    <w:p w:rsidR="00E23F3C" w:rsidRPr="004E35DC" w:rsidRDefault="00E23F3C" w:rsidP="00E6166E">
      <w:pPr>
        <w:spacing w:after="0" w:line="240" w:lineRule="auto"/>
        <w:jc w:val="both"/>
        <w:rPr>
          <w:rFonts w:ascii="Verdana" w:hAnsi="Verdana"/>
          <w:i/>
          <w:sz w:val="20"/>
          <w:szCs w:val="20"/>
        </w:rPr>
      </w:pPr>
    </w:p>
    <w:p w:rsidR="00E6166E" w:rsidRPr="004E35DC" w:rsidRDefault="00E6166E" w:rsidP="00E6166E">
      <w:pPr>
        <w:spacing w:after="0" w:line="240" w:lineRule="auto"/>
        <w:jc w:val="both"/>
        <w:rPr>
          <w:rFonts w:ascii="Verdana" w:hAnsi="Verdana"/>
          <w:i/>
          <w:sz w:val="20"/>
          <w:szCs w:val="20"/>
        </w:rPr>
      </w:pPr>
      <w:r w:rsidRPr="004E35DC">
        <w:rPr>
          <w:rFonts w:ascii="Verdana" w:hAnsi="Verdana"/>
          <w:i/>
          <w:sz w:val="20"/>
          <w:szCs w:val="20"/>
        </w:rPr>
        <w:t>Contingent consideration:</w:t>
      </w:r>
    </w:p>
    <w:p w:rsidR="00E6166E" w:rsidRDefault="00E6166E" w:rsidP="00E6166E">
      <w:pPr>
        <w:spacing w:after="0" w:line="240" w:lineRule="auto"/>
        <w:jc w:val="both"/>
        <w:rPr>
          <w:rFonts w:ascii="Verdana" w:hAnsi="Verdana"/>
          <w:sz w:val="20"/>
          <w:szCs w:val="20"/>
        </w:rPr>
      </w:pPr>
      <w:r w:rsidRPr="004E35DC">
        <w:rPr>
          <w:rFonts w:ascii="Verdana" w:hAnsi="Verdana"/>
          <w:sz w:val="20"/>
          <w:szCs w:val="20"/>
        </w:rPr>
        <w:t>The fair value assessment of the deferred contingent payment and the purchase price adjustment is the net present value of the expected cash flow from the deferred contingent payment and the purchase price adjustment combined. The effect of a change in the estimates in future periods is not disclosed, as this assessment is not possible to calculate.</w:t>
      </w:r>
    </w:p>
    <w:p w:rsidR="009F7F06" w:rsidRDefault="009F7F06" w:rsidP="00E6166E">
      <w:pPr>
        <w:spacing w:after="0" w:line="240" w:lineRule="auto"/>
        <w:jc w:val="both"/>
        <w:rPr>
          <w:rFonts w:ascii="Verdana" w:hAnsi="Verdana"/>
          <w:sz w:val="20"/>
          <w:szCs w:val="20"/>
        </w:rPr>
      </w:pPr>
    </w:p>
    <w:p w:rsidR="008A5E1E" w:rsidRPr="004E35DC" w:rsidRDefault="008A5E1E" w:rsidP="00E6166E">
      <w:pPr>
        <w:spacing w:after="0" w:line="240" w:lineRule="auto"/>
        <w:jc w:val="both"/>
        <w:rPr>
          <w:rFonts w:ascii="Verdana" w:hAnsi="Verdana"/>
          <w:sz w:val="20"/>
          <w:szCs w:val="20"/>
        </w:rPr>
      </w:pPr>
    </w:p>
    <w:p w:rsidR="00E6166E" w:rsidRPr="004E35DC" w:rsidRDefault="00E6166E" w:rsidP="00E6166E">
      <w:pPr>
        <w:spacing w:after="0" w:line="240" w:lineRule="auto"/>
        <w:jc w:val="both"/>
        <w:rPr>
          <w:rFonts w:ascii="Verdana" w:hAnsi="Verdana"/>
          <w:sz w:val="20"/>
          <w:szCs w:val="20"/>
        </w:rPr>
      </w:pPr>
      <w:r w:rsidRPr="004E35DC">
        <w:rPr>
          <w:rFonts w:ascii="Verdana" w:hAnsi="Verdana"/>
          <w:sz w:val="20"/>
          <w:szCs w:val="20"/>
        </w:rPr>
        <w:t>An increase in the discount factor level in the calculation of contingent consideration (the major base parameter), by 1 percentage point relative to the discount factor level on the balance sheet date would have had a positive effect on USD 0-0.1 million on the Group's results of operations and equity</w:t>
      </w:r>
      <w:r w:rsidR="00EC4277">
        <w:rPr>
          <w:rFonts w:ascii="Verdana" w:hAnsi="Verdana"/>
          <w:sz w:val="20"/>
          <w:szCs w:val="20"/>
        </w:rPr>
        <w:t xml:space="preserve"> in 2012</w:t>
      </w:r>
      <w:r w:rsidRPr="004E35DC">
        <w:rPr>
          <w:rFonts w:ascii="Verdana" w:hAnsi="Verdana"/>
          <w:sz w:val="20"/>
          <w:szCs w:val="20"/>
        </w:rPr>
        <w:t>.</w:t>
      </w:r>
    </w:p>
    <w:p w:rsidR="00E6166E" w:rsidRDefault="00E6166E" w:rsidP="00E6166E">
      <w:pPr>
        <w:spacing w:after="0" w:line="240" w:lineRule="auto"/>
        <w:jc w:val="both"/>
        <w:rPr>
          <w:rFonts w:ascii="Verdana" w:hAnsi="Verdana"/>
        </w:rPr>
      </w:pPr>
    </w:p>
    <w:p w:rsidR="00E6166E" w:rsidRDefault="00E6166E" w:rsidP="00E6166E">
      <w:pPr>
        <w:spacing w:after="0" w:line="240" w:lineRule="auto"/>
        <w:jc w:val="both"/>
        <w:rPr>
          <w:rFonts w:ascii="Verdana" w:hAnsi="Verdana"/>
        </w:rPr>
      </w:pPr>
      <w:r w:rsidRPr="00E6166E">
        <w:rPr>
          <w:noProof/>
          <w:lang w:val="da-DK" w:eastAsia="da-DK"/>
        </w:rPr>
        <w:drawing>
          <wp:inline distT="0" distB="0" distL="0" distR="0" wp14:anchorId="42DB887B" wp14:editId="7B0FA1D5">
            <wp:extent cx="6511925" cy="2984528"/>
            <wp:effectExtent l="0" t="0" r="3175" b="635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11925" cy="2984528"/>
                    </a:xfrm>
                    <a:prstGeom prst="rect">
                      <a:avLst/>
                    </a:prstGeom>
                    <a:noFill/>
                    <a:ln>
                      <a:noFill/>
                    </a:ln>
                  </pic:spPr>
                </pic:pic>
              </a:graphicData>
            </a:graphic>
          </wp:inline>
        </w:drawing>
      </w:r>
    </w:p>
    <w:p w:rsidR="00E6166E" w:rsidRDefault="00E6166E" w:rsidP="00E6166E">
      <w:pPr>
        <w:spacing w:after="0" w:line="240" w:lineRule="auto"/>
        <w:jc w:val="both"/>
        <w:rPr>
          <w:rFonts w:ascii="Verdana" w:hAnsi="Verdana"/>
        </w:rPr>
      </w:pPr>
    </w:p>
    <w:p w:rsidR="00E6166E" w:rsidRDefault="00E6166E" w:rsidP="00E6166E">
      <w:pPr>
        <w:spacing w:after="0" w:line="240" w:lineRule="auto"/>
        <w:jc w:val="both"/>
        <w:rPr>
          <w:rFonts w:ascii="Verdana" w:hAnsi="Verdana"/>
        </w:rPr>
      </w:pPr>
      <w:r w:rsidRPr="00E6166E">
        <w:rPr>
          <w:noProof/>
          <w:lang w:val="da-DK" w:eastAsia="da-DK"/>
        </w:rPr>
        <w:drawing>
          <wp:inline distT="0" distB="0" distL="0" distR="0" wp14:anchorId="21C06FB4" wp14:editId="6E8A01AA">
            <wp:extent cx="6511925" cy="2827810"/>
            <wp:effectExtent l="0" t="0" r="317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11925" cy="2827810"/>
                    </a:xfrm>
                    <a:prstGeom prst="rect">
                      <a:avLst/>
                    </a:prstGeom>
                    <a:noFill/>
                    <a:ln>
                      <a:noFill/>
                    </a:ln>
                  </pic:spPr>
                </pic:pic>
              </a:graphicData>
            </a:graphic>
          </wp:inline>
        </w:drawing>
      </w:r>
    </w:p>
    <w:p w:rsidR="00E6166E" w:rsidRDefault="00E6166E" w:rsidP="00E6166E">
      <w:pPr>
        <w:spacing w:after="0" w:line="240" w:lineRule="auto"/>
        <w:jc w:val="both"/>
        <w:rPr>
          <w:rFonts w:ascii="Verdana" w:hAnsi="Verdana"/>
        </w:rPr>
      </w:pPr>
    </w:p>
    <w:p w:rsidR="00E6166E" w:rsidRDefault="00E6166E" w:rsidP="00E6166E">
      <w:pPr>
        <w:spacing w:after="0" w:line="240" w:lineRule="auto"/>
        <w:jc w:val="both"/>
        <w:rPr>
          <w:rFonts w:ascii="Verdana" w:hAnsi="Verdana"/>
        </w:rPr>
      </w:pPr>
    </w:p>
    <w:p w:rsidR="00E6166E" w:rsidRDefault="00312D88" w:rsidP="00E6166E">
      <w:pPr>
        <w:spacing w:after="0" w:line="240" w:lineRule="auto"/>
        <w:jc w:val="both"/>
        <w:rPr>
          <w:rFonts w:ascii="Verdana" w:hAnsi="Verdana"/>
        </w:rPr>
      </w:pPr>
      <w:r w:rsidRPr="00312D88">
        <w:rPr>
          <w:noProof/>
          <w:lang w:val="da-DK" w:eastAsia="da-DK"/>
        </w:rPr>
        <w:lastRenderedPageBreak/>
        <w:drawing>
          <wp:inline distT="0" distB="0" distL="0" distR="0" wp14:anchorId="3F6EB638" wp14:editId="155145B5">
            <wp:extent cx="6511925" cy="2202194"/>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11925" cy="2202194"/>
                    </a:xfrm>
                    <a:prstGeom prst="rect">
                      <a:avLst/>
                    </a:prstGeom>
                    <a:noFill/>
                    <a:ln>
                      <a:noFill/>
                    </a:ln>
                  </pic:spPr>
                </pic:pic>
              </a:graphicData>
            </a:graphic>
          </wp:inline>
        </w:drawing>
      </w:r>
    </w:p>
    <w:p w:rsidR="00E6166E" w:rsidRDefault="00E6166E" w:rsidP="00E6166E">
      <w:pPr>
        <w:spacing w:after="0" w:line="240" w:lineRule="auto"/>
        <w:jc w:val="both"/>
        <w:rPr>
          <w:rFonts w:ascii="Verdana" w:hAnsi="Verdana"/>
        </w:rPr>
      </w:pPr>
    </w:p>
    <w:p w:rsidR="00E6166E" w:rsidRDefault="00E6166E" w:rsidP="00BD2C69">
      <w:pPr>
        <w:spacing w:after="0"/>
        <w:jc w:val="both"/>
        <w:rPr>
          <w:rFonts w:ascii="Verdana" w:hAnsi="Verdana"/>
          <w:sz w:val="20"/>
          <w:szCs w:val="20"/>
        </w:rPr>
      </w:pPr>
      <w:r w:rsidRPr="00E6166E">
        <w:rPr>
          <w:rFonts w:ascii="Verdana" w:hAnsi="Verdana"/>
          <w:sz w:val="20"/>
          <w:szCs w:val="20"/>
        </w:rPr>
        <w:t>There were no transfers between level 1 and level 2 during the financial year.</w:t>
      </w:r>
    </w:p>
    <w:p w:rsidR="00E6166E" w:rsidRDefault="00E6166E" w:rsidP="00BD2C69">
      <w:pPr>
        <w:spacing w:after="0"/>
        <w:jc w:val="both"/>
        <w:rPr>
          <w:rFonts w:ascii="Verdana" w:hAnsi="Verdana"/>
          <w:sz w:val="20"/>
          <w:szCs w:val="20"/>
        </w:rPr>
      </w:pPr>
    </w:p>
    <w:p w:rsidR="00E6166E" w:rsidRPr="00E6166E" w:rsidRDefault="00E6166E" w:rsidP="00BD2C69">
      <w:pPr>
        <w:spacing w:after="0"/>
        <w:jc w:val="both"/>
        <w:rPr>
          <w:rFonts w:ascii="Verdana" w:hAnsi="Verdana"/>
          <w:b/>
          <w:sz w:val="20"/>
          <w:szCs w:val="20"/>
        </w:rPr>
      </w:pPr>
      <w:r w:rsidRPr="00E6166E">
        <w:rPr>
          <w:rFonts w:ascii="Verdana" w:hAnsi="Verdana"/>
          <w:b/>
          <w:sz w:val="20"/>
          <w:szCs w:val="20"/>
        </w:rPr>
        <w:t>Policy for managing financial risks</w:t>
      </w:r>
    </w:p>
    <w:p w:rsidR="00E6166E" w:rsidRDefault="00E6166E" w:rsidP="00BD2C69">
      <w:pPr>
        <w:spacing w:after="0"/>
        <w:jc w:val="both"/>
        <w:rPr>
          <w:rFonts w:ascii="Verdana" w:hAnsi="Verdana"/>
          <w:sz w:val="20"/>
          <w:szCs w:val="20"/>
        </w:rPr>
      </w:pPr>
      <w:r w:rsidRPr="00E6166E">
        <w:rPr>
          <w:rFonts w:ascii="Verdana" w:hAnsi="Verdana"/>
          <w:sz w:val="20"/>
          <w:szCs w:val="20"/>
        </w:rPr>
        <w:t>Due to its operations, investments and financing, the Group is exposed to fluctuations in foreign exchange rates and interest rates. The Company monitors and manages the Group’s financial risks centrally and coordinates the Group’s liquidity management, including funding. The Group pursues a finance policy which operates with a low risk profile, ensuring the foreign exchange, interest and credit risks arise only on the basis</w:t>
      </w:r>
      <w:r>
        <w:rPr>
          <w:rFonts w:ascii="Verdana" w:hAnsi="Verdana"/>
          <w:sz w:val="20"/>
          <w:szCs w:val="20"/>
        </w:rPr>
        <w:t xml:space="preserve"> of commercial factors. Hence, </w:t>
      </w:r>
      <w:r w:rsidRPr="00E6166E">
        <w:rPr>
          <w:rFonts w:ascii="Verdana" w:hAnsi="Verdana"/>
          <w:sz w:val="20"/>
          <w:szCs w:val="20"/>
        </w:rPr>
        <w:t>when required, the Group uses financial instruments to hedge risks. For further information on accounting policies and methods, including recognition criteria and bases of measurement, see the section on accounting policies in Note 2.</w:t>
      </w:r>
    </w:p>
    <w:p w:rsidR="00E6166E" w:rsidRDefault="00E6166E" w:rsidP="00BD2C69">
      <w:pPr>
        <w:spacing w:after="0"/>
        <w:jc w:val="both"/>
        <w:rPr>
          <w:rFonts w:ascii="Verdana" w:hAnsi="Verdana"/>
          <w:sz w:val="20"/>
          <w:szCs w:val="20"/>
        </w:rPr>
      </w:pPr>
    </w:p>
    <w:p w:rsidR="00E6166E" w:rsidRPr="00E6166E" w:rsidRDefault="00E6166E" w:rsidP="00BD2C69">
      <w:pPr>
        <w:spacing w:after="0"/>
        <w:jc w:val="both"/>
        <w:rPr>
          <w:rFonts w:ascii="Verdana" w:hAnsi="Verdana"/>
          <w:b/>
          <w:sz w:val="20"/>
          <w:szCs w:val="20"/>
        </w:rPr>
      </w:pPr>
      <w:r w:rsidRPr="00E6166E">
        <w:rPr>
          <w:rFonts w:ascii="Verdana" w:hAnsi="Verdana"/>
          <w:b/>
          <w:sz w:val="20"/>
          <w:szCs w:val="20"/>
        </w:rPr>
        <w:t>Currency risks</w:t>
      </w:r>
    </w:p>
    <w:p w:rsidR="00E6166E" w:rsidRDefault="004E4A0C" w:rsidP="00BD2C69">
      <w:pPr>
        <w:spacing w:after="0"/>
        <w:jc w:val="both"/>
        <w:rPr>
          <w:rFonts w:ascii="Verdana" w:hAnsi="Verdana"/>
          <w:sz w:val="20"/>
          <w:szCs w:val="20"/>
        </w:rPr>
      </w:pPr>
      <w:r>
        <w:rPr>
          <w:rFonts w:ascii="Verdana" w:hAnsi="Verdana"/>
          <w:sz w:val="20"/>
          <w:szCs w:val="20"/>
        </w:rPr>
        <w:t xml:space="preserve">The Group and the </w:t>
      </w:r>
      <w:r w:rsidR="00E6166E" w:rsidRPr="00E6166E">
        <w:rPr>
          <w:rFonts w:ascii="Verdana" w:hAnsi="Verdana"/>
          <w:sz w:val="20"/>
          <w:szCs w:val="20"/>
        </w:rPr>
        <w:t>Company are mildly sensitive to exchange rate fluctuations as earnings and costs are primarily denominated in USD. No financial hedges have been made for the DKK, EUR and SGD exposure in 2013. The Group's policy is to review the currency exposure and hedge the risk if this is significant. The sensitivity towards changes in exchang</w:t>
      </w:r>
      <w:r w:rsidR="008A5E1E">
        <w:rPr>
          <w:rFonts w:ascii="Verdana" w:hAnsi="Verdana"/>
          <w:sz w:val="20"/>
          <w:szCs w:val="20"/>
        </w:rPr>
        <w:t>e rates is approximately USD 0</w:t>
      </w:r>
      <w:r w:rsidR="00E6166E" w:rsidRPr="00E6166E">
        <w:rPr>
          <w:rFonts w:ascii="Verdana" w:hAnsi="Verdana"/>
          <w:sz w:val="20"/>
          <w:szCs w:val="20"/>
        </w:rPr>
        <w:t xml:space="preserve"> million for each percentage change in USD towards DKK, EUR</w:t>
      </w:r>
      <w:r w:rsidR="001035E3">
        <w:rPr>
          <w:rFonts w:ascii="Verdana" w:hAnsi="Verdana"/>
          <w:sz w:val="20"/>
          <w:szCs w:val="20"/>
        </w:rPr>
        <w:t xml:space="preserve"> and SGD combined (2012: USD 0</w:t>
      </w:r>
      <w:r w:rsidR="00E6166E" w:rsidRPr="00E6166E">
        <w:rPr>
          <w:rFonts w:ascii="Verdana" w:hAnsi="Verdana"/>
          <w:sz w:val="20"/>
          <w:szCs w:val="20"/>
        </w:rPr>
        <w:t xml:space="preserve"> million).</w:t>
      </w:r>
    </w:p>
    <w:p w:rsidR="00E6166E" w:rsidRDefault="00E6166E" w:rsidP="00BD2C69">
      <w:pPr>
        <w:spacing w:after="0"/>
        <w:jc w:val="both"/>
        <w:rPr>
          <w:rFonts w:ascii="Verdana" w:hAnsi="Verdana"/>
          <w:sz w:val="20"/>
          <w:szCs w:val="20"/>
        </w:rPr>
      </w:pPr>
    </w:p>
    <w:p w:rsidR="00E6166E" w:rsidRPr="00E6166E" w:rsidRDefault="00E6166E" w:rsidP="00BD2C69">
      <w:pPr>
        <w:spacing w:after="0"/>
        <w:jc w:val="both"/>
        <w:rPr>
          <w:rFonts w:ascii="Verdana" w:hAnsi="Verdana"/>
          <w:b/>
          <w:sz w:val="20"/>
          <w:szCs w:val="20"/>
        </w:rPr>
      </w:pPr>
      <w:r w:rsidRPr="00E6166E">
        <w:rPr>
          <w:rFonts w:ascii="Verdana" w:hAnsi="Verdana"/>
          <w:b/>
          <w:sz w:val="20"/>
          <w:szCs w:val="20"/>
        </w:rPr>
        <w:t>Interest rate risks</w:t>
      </w:r>
    </w:p>
    <w:p w:rsidR="00E6166E" w:rsidRPr="00E6166E" w:rsidRDefault="00E6166E" w:rsidP="00BD2C69">
      <w:pPr>
        <w:spacing w:after="0"/>
        <w:jc w:val="both"/>
        <w:rPr>
          <w:rFonts w:ascii="Verdana" w:hAnsi="Verdana"/>
          <w:sz w:val="20"/>
          <w:szCs w:val="20"/>
        </w:rPr>
      </w:pPr>
      <w:r w:rsidRPr="00E6166E">
        <w:rPr>
          <w:rFonts w:ascii="Verdana" w:hAnsi="Verdana"/>
          <w:sz w:val="20"/>
          <w:szCs w:val="20"/>
        </w:rPr>
        <w:t xml:space="preserve">Prior to the restructuring, it is the Group's policy to hedge interest rate risks on the Group’s borrowings when the </w:t>
      </w:r>
      <w:r w:rsidR="008D3E76">
        <w:rPr>
          <w:rFonts w:ascii="Verdana" w:hAnsi="Verdana"/>
          <w:sz w:val="20"/>
          <w:szCs w:val="20"/>
        </w:rPr>
        <w:t>m</w:t>
      </w:r>
      <w:r w:rsidRPr="00E6166E">
        <w:rPr>
          <w:rFonts w:ascii="Verdana" w:hAnsi="Verdana"/>
          <w:sz w:val="20"/>
          <w:szCs w:val="20"/>
        </w:rPr>
        <w:t>anagement assesses that interest payments may be hedged at a satisfactory level compared with the associated costs. Hedging is generally accomplished using interest rate swaps, under which floating-rate loans are converted to fixed-rate loans. Upon the completion of restructuring, all of the Company's interest rate swap transactions were closed-out. The Group is prohibited from entering into new derivative transactions even for hedging purposes, unless approved by the lending banks. As a result, the Group’s finance loans is now uncovered in relation to interest risks, and subject to approval by lending banks, the Group will not be able to enter into new derivative transactions to hedge its interest rate exposure.</w:t>
      </w:r>
    </w:p>
    <w:p w:rsidR="00E6166E" w:rsidRDefault="00E6166E" w:rsidP="00BD2C69">
      <w:pPr>
        <w:spacing w:after="0"/>
        <w:jc w:val="both"/>
        <w:rPr>
          <w:rFonts w:ascii="Verdana" w:hAnsi="Verdana"/>
        </w:rPr>
      </w:pPr>
    </w:p>
    <w:p w:rsidR="002A0D41" w:rsidRPr="002A0D41" w:rsidRDefault="002A0D41" w:rsidP="00BD2C69">
      <w:pPr>
        <w:spacing w:after="0"/>
        <w:jc w:val="both"/>
        <w:rPr>
          <w:rFonts w:ascii="Verdana" w:hAnsi="Verdana"/>
          <w:b/>
          <w:sz w:val="20"/>
          <w:szCs w:val="20"/>
        </w:rPr>
      </w:pPr>
      <w:r w:rsidRPr="002A0D41">
        <w:rPr>
          <w:rFonts w:ascii="Verdana" w:hAnsi="Verdana"/>
          <w:b/>
          <w:sz w:val="20"/>
          <w:szCs w:val="20"/>
        </w:rPr>
        <w:t>Group</w:t>
      </w:r>
    </w:p>
    <w:p w:rsidR="002A0D41" w:rsidRPr="002A0D41" w:rsidRDefault="002A0D41" w:rsidP="00BD2C69">
      <w:pPr>
        <w:spacing w:after="0"/>
        <w:jc w:val="both"/>
        <w:rPr>
          <w:rFonts w:ascii="Verdana" w:hAnsi="Verdana"/>
          <w:sz w:val="20"/>
          <w:szCs w:val="20"/>
        </w:rPr>
      </w:pPr>
      <w:r w:rsidRPr="002A0D41">
        <w:rPr>
          <w:rFonts w:ascii="Verdana" w:hAnsi="Verdana"/>
          <w:sz w:val="20"/>
          <w:szCs w:val="20"/>
        </w:rPr>
        <w:t>As at 31 December 2013, the fair value of the Group’s outstanding interest rate swaps contracted to hedge interest rate risks on floating-rate loans am</w:t>
      </w:r>
      <w:r w:rsidR="001035E3">
        <w:rPr>
          <w:rFonts w:ascii="Verdana" w:hAnsi="Verdana"/>
          <w:sz w:val="20"/>
          <w:szCs w:val="20"/>
        </w:rPr>
        <w:t>ounted to a liability of USD 0</w:t>
      </w:r>
      <w:r w:rsidRPr="002A0D41">
        <w:rPr>
          <w:rFonts w:ascii="Verdana" w:hAnsi="Verdana"/>
          <w:sz w:val="20"/>
          <w:szCs w:val="20"/>
        </w:rPr>
        <w:t xml:space="preserve"> million (31 December 2012: USD</w:t>
      </w:r>
      <w:r w:rsidR="00D862E9">
        <w:rPr>
          <w:rFonts w:ascii="Verdana" w:hAnsi="Verdana"/>
          <w:sz w:val="20"/>
          <w:szCs w:val="20"/>
        </w:rPr>
        <w:t xml:space="preserve"> </w:t>
      </w:r>
      <w:r w:rsidRPr="002A0D41">
        <w:rPr>
          <w:rFonts w:ascii="Verdana" w:hAnsi="Verdana"/>
          <w:sz w:val="20"/>
          <w:szCs w:val="20"/>
        </w:rPr>
        <w:t>-3.2 million). The outstanding interest rate swap as at 31 December 201</w:t>
      </w:r>
      <w:r w:rsidR="001035E3">
        <w:rPr>
          <w:rFonts w:ascii="Verdana" w:hAnsi="Verdana"/>
          <w:sz w:val="20"/>
          <w:szCs w:val="20"/>
        </w:rPr>
        <w:t>3 has a nominal value of USD 0</w:t>
      </w:r>
      <w:r w:rsidRPr="002A0D41">
        <w:rPr>
          <w:rFonts w:ascii="Verdana" w:hAnsi="Verdana"/>
          <w:sz w:val="20"/>
          <w:szCs w:val="20"/>
        </w:rPr>
        <w:t xml:space="preserve"> million (31 December 2012: USD</w:t>
      </w:r>
      <w:r w:rsidR="00D862E9">
        <w:rPr>
          <w:rFonts w:ascii="Verdana" w:hAnsi="Verdana"/>
          <w:sz w:val="20"/>
          <w:szCs w:val="20"/>
        </w:rPr>
        <w:t xml:space="preserve"> </w:t>
      </w:r>
      <w:r w:rsidRPr="002A0D41">
        <w:rPr>
          <w:rFonts w:ascii="Verdana" w:hAnsi="Verdana"/>
          <w:sz w:val="20"/>
          <w:szCs w:val="20"/>
        </w:rPr>
        <w:t xml:space="preserve">70.7 million). </w:t>
      </w:r>
    </w:p>
    <w:p w:rsidR="002A0D41" w:rsidRPr="002A0D41" w:rsidRDefault="002A0D41" w:rsidP="00BD2C69">
      <w:pPr>
        <w:spacing w:after="0"/>
        <w:jc w:val="both"/>
        <w:rPr>
          <w:rFonts w:ascii="Verdana" w:hAnsi="Verdana"/>
          <w:sz w:val="20"/>
          <w:szCs w:val="20"/>
        </w:rPr>
      </w:pPr>
    </w:p>
    <w:p w:rsidR="00E6166E" w:rsidRPr="002A0D41" w:rsidRDefault="002A0D41" w:rsidP="00BD2C69">
      <w:pPr>
        <w:spacing w:after="0"/>
        <w:jc w:val="both"/>
        <w:rPr>
          <w:rFonts w:ascii="Verdana" w:hAnsi="Verdana"/>
          <w:sz w:val="20"/>
          <w:szCs w:val="20"/>
        </w:rPr>
      </w:pPr>
      <w:r w:rsidRPr="002A0D41">
        <w:rPr>
          <w:rFonts w:ascii="Verdana" w:hAnsi="Verdana"/>
          <w:sz w:val="20"/>
          <w:szCs w:val="20"/>
        </w:rPr>
        <w:lastRenderedPageBreak/>
        <w:t>The Group’s bank deposits are held in call accounts and carry a floating rate of interest. Interest rate fluctuations affect the Group’s finance loans. A one percentage point increase in interest rates compared with the realised interest level would have had an adverse impact of approximately USD</w:t>
      </w:r>
      <w:r w:rsidR="00D862E9">
        <w:rPr>
          <w:rFonts w:ascii="Verdana" w:hAnsi="Verdana"/>
          <w:sz w:val="20"/>
          <w:szCs w:val="20"/>
        </w:rPr>
        <w:t xml:space="preserve"> </w:t>
      </w:r>
      <w:r w:rsidR="009F7F06">
        <w:rPr>
          <w:rFonts w:ascii="Verdana" w:hAnsi="Verdana"/>
          <w:sz w:val="20"/>
          <w:szCs w:val="20"/>
        </w:rPr>
        <w:t>1.0</w:t>
      </w:r>
      <w:r w:rsidRPr="002A0D41">
        <w:rPr>
          <w:rFonts w:ascii="Verdana" w:hAnsi="Verdana"/>
          <w:sz w:val="20"/>
          <w:szCs w:val="20"/>
        </w:rPr>
        <w:t xml:space="preserve"> million (2012: USD</w:t>
      </w:r>
      <w:r w:rsidR="00D862E9">
        <w:rPr>
          <w:rFonts w:ascii="Verdana" w:hAnsi="Verdana"/>
          <w:sz w:val="20"/>
          <w:szCs w:val="20"/>
        </w:rPr>
        <w:t xml:space="preserve"> </w:t>
      </w:r>
      <w:r w:rsidR="00EB6AC0">
        <w:rPr>
          <w:rFonts w:ascii="Verdana" w:hAnsi="Verdana"/>
          <w:sz w:val="20"/>
          <w:szCs w:val="20"/>
        </w:rPr>
        <w:t>1.7</w:t>
      </w:r>
      <w:r w:rsidRPr="002A0D41">
        <w:rPr>
          <w:rFonts w:ascii="Verdana" w:hAnsi="Verdana"/>
          <w:sz w:val="20"/>
          <w:szCs w:val="20"/>
        </w:rPr>
        <w:t xml:space="preserve"> million) on results for the year and equity. A corresponding decrease in interest rates would have a corresponding positive impact on results for the year and equity.</w:t>
      </w:r>
    </w:p>
    <w:p w:rsidR="008A5E1E" w:rsidRPr="002A0D41" w:rsidRDefault="008A5E1E" w:rsidP="00E6166E">
      <w:pPr>
        <w:spacing w:after="0" w:line="240" w:lineRule="auto"/>
        <w:jc w:val="both"/>
        <w:rPr>
          <w:rFonts w:ascii="Verdana" w:hAnsi="Verdana"/>
          <w:sz w:val="20"/>
          <w:szCs w:val="20"/>
        </w:rPr>
      </w:pPr>
    </w:p>
    <w:p w:rsidR="00E6166E" w:rsidRPr="00BD2C69" w:rsidRDefault="002A0D41" w:rsidP="00BD2C69">
      <w:pPr>
        <w:tabs>
          <w:tab w:val="left" w:pos="4050"/>
        </w:tabs>
        <w:spacing w:after="0"/>
        <w:jc w:val="both"/>
        <w:rPr>
          <w:rFonts w:ascii="Verdana" w:hAnsi="Verdana"/>
          <w:b/>
          <w:sz w:val="20"/>
          <w:szCs w:val="20"/>
        </w:rPr>
      </w:pPr>
      <w:r w:rsidRPr="00BD2C69">
        <w:rPr>
          <w:rFonts w:ascii="Verdana" w:hAnsi="Verdana"/>
          <w:b/>
          <w:sz w:val="20"/>
          <w:szCs w:val="20"/>
        </w:rPr>
        <w:t>Company</w:t>
      </w:r>
    </w:p>
    <w:p w:rsidR="00E6166E" w:rsidRPr="00BD2C69" w:rsidRDefault="00E6166E" w:rsidP="00BD2C69">
      <w:pPr>
        <w:tabs>
          <w:tab w:val="left" w:pos="4050"/>
        </w:tabs>
        <w:spacing w:after="0"/>
        <w:jc w:val="both"/>
        <w:rPr>
          <w:rFonts w:ascii="Verdana" w:hAnsi="Verdana"/>
          <w:sz w:val="20"/>
          <w:szCs w:val="20"/>
        </w:rPr>
      </w:pPr>
      <w:r w:rsidRPr="00BD2C69">
        <w:rPr>
          <w:rFonts w:ascii="Verdana" w:hAnsi="Verdana"/>
          <w:sz w:val="20"/>
          <w:szCs w:val="20"/>
        </w:rPr>
        <w:t>As at 31 December 2013, the fair value of the Company's outstanding interest rate swaps contracted to hedge interest rate risks on floating-rate loans am</w:t>
      </w:r>
      <w:r w:rsidR="001035E3" w:rsidRPr="00BD2C69">
        <w:rPr>
          <w:rFonts w:ascii="Verdana" w:hAnsi="Verdana"/>
          <w:sz w:val="20"/>
          <w:szCs w:val="20"/>
        </w:rPr>
        <w:t>ounted to a liability of USD 0</w:t>
      </w:r>
      <w:r w:rsidR="002A0D41" w:rsidRPr="00BD2C69">
        <w:rPr>
          <w:rFonts w:ascii="Verdana" w:hAnsi="Verdana"/>
          <w:sz w:val="20"/>
          <w:szCs w:val="20"/>
        </w:rPr>
        <w:t xml:space="preserve"> million (31 December 2012: USD</w:t>
      </w:r>
      <w:r w:rsidR="00D862E9" w:rsidRPr="00BD2C69">
        <w:rPr>
          <w:rFonts w:ascii="Verdana" w:hAnsi="Verdana"/>
          <w:sz w:val="20"/>
          <w:szCs w:val="20"/>
        </w:rPr>
        <w:t xml:space="preserve"> </w:t>
      </w:r>
      <w:r w:rsidRPr="00BD2C69">
        <w:rPr>
          <w:rFonts w:ascii="Verdana" w:hAnsi="Verdana"/>
          <w:sz w:val="20"/>
          <w:szCs w:val="20"/>
        </w:rPr>
        <w:t>-3.2 million). The outstanding interest rate swap as at 31 December 201</w:t>
      </w:r>
      <w:r w:rsidR="001035E3" w:rsidRPr="00BD2C69">
        <w:rPr>
          <w:rFonts w:ascii="Verdana" w:hAnsi="Verdana"/>
          <w:sz w:val="20"/>
          <w:szCs w:val="20"/>
        </w:rPr>
        <w:t>3 has a nominal value of USD 0</w:t>
      </w:r>
      <w:r w:rsidRPr="00BD2C69">
        <w:rPr>
          <w:rFonts w:ascii="Verdana" w:hAnsi="Verdana"/>
          <w:sz w:val="20"/>
          <w:szCs w:val="20"/>
        </w:rPr>
        <w:t xml:space="preserve"> million (31 December 2012: USD</w:t>
      </w:r>
      <w:r w:rsidR="00D862E9" w:rsidRPr="00BD2C69">
        <w:rPr>
          <w:rFonts w:ascii="Verdana" w:hAnsi="Verdana"/>
          <w:sz w:val="20"/>
          <w:szCs w:val="20"/>
        </w:rPr>
        <w:t xml:space="preserve"> </w:t>
      </w:r>
      <w:r w:rsidRPr="00BD2C69">
        <w:rPr>
          <w:rFonts w:ascii="Verdana" w:hAnsi="Verdana"/>
          <w:sz w:val="20"/>
          <w:szCs w:val="20"/>
        </w:rPr>
        <w:t xml:space="preserve">70.7 million).                                                                                                                                                                                                                                                                                                             </w:t>
      </w:r>
    </w:p>
    <w:p w:rsidR="009F7F06" w:rsidRPr="00BD2C69" w:rsidRDefault="00E6166E" w:rsidP="00BD2C69">
      <w:pPr>
        <w:spacing w:after="0"/>
        <w:jc w:val="both"/>
        <w:rPr>
          <w:rFonts w:ascii="Verdana" w:hAnsi="Verdana"/>
          <w:sz w:val="20"/>
          <w:szCs w:val="20"/>
        </w:rPr>
      </w:pPr>
      <w:r w:rsidRPr="00BD2C69">
        <w:rPr>
          <w:rFonts w:ascii="Verdana" w:hAnsi="Verdana"/>
          <w:sz w:val="20"/>
          <w:szCs w:val="20"/>
        </w:rPr>
        <w:t xml:space="preserve">                                                                                                                                                                                                                                                                                                                 </w:t>
      </w:r>
      <w:r w:rsidR="002A0D41" w:rsidRPr="00BD2C69">
        <w:rPr>
          <w:rFonts w:ascii="Verdana" w:hAnsi="Verdana"/>
          <w:sz w:val="20"/>
          <w:szCs w:val="20"/>
        </w:rPr>
        <w:t xml:space="preserve">                     The </w:t>
      </w:r>
      <w:r w:rsidRPr="00BD2C69">
        <w:rPr>
          <w:rFonts w:ascii="Verdana" w:hAnsi="Verdana"/>
          <w:sz w:val="20"/>
          <w:szCs w:val="20"/>
        </w:rPr>
        <w:t>Company's bank deposits are held in call accounts and carry a floating rate of interest. Interest rate</w:t>
      </w:r>
      <w:r w:rsidR="002A0D41" w:rsidRPr="00BD2C69">
        <w:rPr>
          <w:rFonts w:ascii="Verdana" w:hAnsi="Verdana"/>
          <w:sz w:val="20"/>
          <w:szCs w:val="20"/>
        </w:rPr>
        <w:t xml:space="preserve"> fluctuations affect the </w:t>
      </w:r>
      <w:r w:rsidRPr="00BD2C69">
        <w:rPr>
          <w:rFonts w:ascii="Verdana" w:hAnsi="Verdana"/>
          <w:sz w:val="20"/>
          <w:szCs w:val="20"/>
        </w:rPr>
        <w:t xml:space="preserve">Company's finance loans. </w:t>
      </w:r>
      <w:r w:rsidR="009F7F06" w:rsidRPr="00BD2C69">
        <w:rPr>
          <w:rFonts w:ascii="Verdana" w:hAnsi="Verdana"/>
          <w:sz w:val="20"/>
          <w:szCs w:val="20"/>
        </w:rPr>
        <w:t>A one percentage point increase in interest rates compared with the realised interest level would have had an adverse impact of approximately USD 0.2 million (2012: USD 0.4 million) on results for the year and equity. A corresponding decrease in interest rates would have a corresponding positive impact on results for the year and equity.</w:t>
      </w:r>
    </w:p>
    <w:p w:rsidR="002A0D41" w:rsidRPr="00BD2C69" w:rsidRDefault="002A0D41" w:rsidP="00BD2C69">
      <w:pPr>
        <w:tabs>
          <w:tab w:val="left" w:pos="4050"/>
        </w:tabs>
        <w:spacing w:after="0"/>
        <w:jc w:val="both"/>
        <w:rPr>
          <w:rFonts w:ascii="Verdana" w:hAnsi="Verdana"/>
          <w:sz w:val="20"/>
          <w:szCs w:val="20"/>
        </w:rPr>
      </w:pPr>
    </w:p>
    <w:p w:rsidR="002A0D41" w:rsidRPr="00BD2C69" w:rsidRDefault="002A0D41" w:rsidP="00BD2C69">
      <w:pPr>
        <w:tabs>
          <w:tab w:val="left" w:pos="4050"/>
        </w:tabs>
        <w:spacing w:after="0"/>
        <w:jc w:val="both"/>
        <w:rPr>
          <w:rFonts w:ascii="Verdana" w:hAnsi="Verdana"/>
          <w:b/>
          <w:sz w:val="20"/>
          <w:szCs w:val="20"/>
        </w:rPr>
      </w:pPr>
      <w:r w:rsidRPr="00BD2C69">
        <w:rPr>
          <w:rFonts w:ascii="Verdana" w:hAnsi="Verdana"/>
          <w:b/>
          <w:sz w:val="20"/>
          <w:szCs w:val="20"/>
        </w:rPr>
        <w:t>Date of revaluation/maturity – Group and Company</w:t>
      </w:r>
    </w:p>
    <w:p w:rsidR="002A0D41" w:rsidRPr="00BD2C69" w:rsidRDefault="002A0D41" w:rsidP="00BD2C69">
      <w:pPr>
        <w:tabs>
          <w:tab w:val="left" w:pos="4050"/>
        </w:tabs>
        <w:spacing w:after="0"/>
        <w:jc w:val="both"/>
        <w:rPr>
          <w:rFonts w:ascii="Verdana" w:hAnsi="Verdana"/>
          <w:sz w:val="20"/>
          <w:szCs w:val="20"/>
        </w:rPr>
      </w:pPr>
      <w:r w:rsidRPr="00BD2C69">
        <w:rPr>
          <w:rFonts w:ascii="Verdana" w:hAnsi="Verdana"/>
          <w:sz w:val="20"/>
          <w:szCs w:val="20"/>
        </w:rPr>
        <w:t>The Group’s and Company’s interest-bearing financial assets and liabilities expose them to interest rate risks. In respect of the Group’s and Company’s financial assets and liabilities, the following contractual dates of reassessment and maturity, whichever is earlier, are listed below.</w:t>
      </w:r>
    </w:p>
    <w:p w:rsidR="002A0D41" w:rsidRDefault="002A0D41" w:rsidP="00BD2C69">
      <w:pPr>
        <w:tabs>
          <w:tab w:val="left" w:pos="4050"/>
        </w:tabs>
        <w:spacing w:after="0"/>
        <w:jc w:val="both"/>
      </w:pPr>
    </w:p>
    <w:p w:rsidR="002A0D41" w:rsidRDefault="00710BB7" w:rsidP="002A0D41">
      <w:pPr>
        <w:tabs>
          <w:tab w:val="left" w:pos="4050"/>
        </w:tabs>
        <w:spacing w:after="0" w:line="240" w:lineRule="auto"/>
        <w:jc w:val="both"/>
      </w:pPr>
      <w:r w:rsidRPr="00710BB7">
        <w:rPr>
          <w:noProof/>
          <w:lang w:val="da-DK" w:eastAsia="da-DK"/>
        </w:rPr>
        <w:drawing>
          <wp:inline distT="0" distB="0" distL="0" distR="0" wp14:anchorId="69EBEF8B" wp14:editId="1B518994">
            <wp:extent cx="6300470" cy="2248565"/>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00470" cy="2248565"/>
                    </a:xfrm>
                    <a:prstGeom prst="rect">
                      <a:avLst/>
                    </a:prstGeom>
                    <a:noFill/>
                    <a:ln>
                      <a:noFill/>
                    </a:ln>
                  </pic:spPr>
                </pic:pic>
              </a:graphicData>
            </a:graphic>
          </wp:inline>
        </w:drawing>
      </w:r>
    </w:p>
    <w:p w:rsidR="00710BB7" w:rsidRDefault="00710BB7" w:rsidP="00710BB7">
      <w:pPr>
        <w:tabs>
          <w:tab w:val="left" w:pos="4050"/>
        </w:tabs>
        <w:spacing w:after="0" w:line="240" w:lineRule="auto"/>
        <w:jc w:val="both"/>
        <w:rPr>
          <w:rFonts w:ascii="Verdana" w:hAnsi="Verdana"/>
          <w:sz w:val="18"/>
          <w:szCs w:val="18"/>
        </w:rPr>
      </w:pPr>
    </w:p>
    <w:p w:rsidR="002A0D41" w:rsidRPr="00710BB7" w:rsidRDefault="00710BB7" w:rsidP="00710BB7">
      <w:pPr>
        <w:tabs>
          <w:tab w:val="left" w:pos="4050"/>
        </w:tabs>
        <w:spacing w:after="0" w:line="240" w:lineRule="auto"/>
        <w:jc w:val="both"/>
        <w:rPr>
          <w:rFonts w:ascii="Verdana" w:hAnsi="Verdana"/>
          <w:sz w:val="18"/>
          <w:szCs w:val="18"/>
        </w:rPr>
      </w:pPr>
      <w:r w:rsidRPr="00710BB7">
        <w:rPr>
          <w:rFonts w:ascii="Verdana" w:hAnsi="Verdana"/>
          <w:sz w:val="18"/>
          <w:szCs w:val="18"/>
        </w:rPr>
        <w:t>^ excludes calculated interest not yet due on finance loans</w:t>
      </w:r>
    </w:p>
    <w:p w:rsidR="002A0D41" w:rsidRDefault="002A0D41" w:rsidP="002A0D41">
      <w:pPr>
        <w:tabs>
          <w:tab w:val="left" w:pos="4050"/>
        </w:tabs>
        <w:spacing w:after="0" w:line="240" w:lineRule="auto"/>
        <w:jc w:val="both"/>
      </w:pPr>
    </w:p>
    <w:p w:rsidR="002A0D41" w:rsidRDefault="00710BB7" w:rsidP="002A0D41">
      <w:pPr>
        <w:tabs>
          <w:tab w:val="left" w:pos="4050"/>
        </w:tabs>
        <w:spacing w:after="0" w:line="240" w:lineRule="auto"/>
        <w:jc w:val="both"/>
      </w:pPr>
      <w:r w:rsidRPr="00710BB7">
        <w:rPr>
          <w:noProof/>
          <w:lang w:val="da-DK" w:eastAsia="da-DK"/>
        </w:rPr>
        <w:lastRenderedPageBreak/>
        <w:drawing>
          <wp:inline distT="0" distB="0" distL="0" distR="0" wp14:anchorId="2217C3B1" wp14:editId="04BB1760">
            <wp:extent cx="6300470" cy="2404454"/>
            <wp:effectExtent l="0" t="0" r="508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00470" cy="2404454"/>
                    </a:xfrm>
                    <a:prstGeom prst="rect">
                      <a:avLst/>
                    </a:prstGeom>
                    <a:noFill/>
                    <a:ln>
                      <a:noFill/>
                    </a:ln>
                  </pic:spPr>
                </pic:pic>
              </a:graphicData>
            </a:graphic>
          </wp:inline>
        </w:drawing>
      </w:r>
    </w:p>
    <w:p w:rsidR="002A0D41" w:rsidRDefault="002A0D41" w:rsidP="002A0D41">
      <w:pPr>
        <w:tabs>
          <w:tab w:val="left" w:pos="4050"/>
        </w:tabs>
        <w:spacing w:after="0" w:line="240" w:lineRule="auto"/>
        <w:jc w:val="both"/>
      </w:pPr>
    </w:p>
    <w:p w:rsidR="002A0D41" w:rsidRDefault="00710BB7" w:rsidP="002A0D41">
      <w:pPr>
        <w:tabs>
          <w:tab w:val="left" w:pos="4050"/>
        </w:tabs>
        <w:spacing w:after="0" w:line="240" w:lineRule="auto"/>
        <w:jc w:val="both"/>
      </w:pPr>
      <w:r w:rsidRPr="00710BB7">
        <w:rPr>
          <w:rFonts w:ascii="Verdana" w:hAnsi="Verdana"/>
          <w:sz w:val="18"/>
          <w:szCs w:val="18"/>
        </w:rPr>
        <w:t>^ excludes calculated interest not yet due on finance loans</w:t>
      </w:r>
    </w:p>
    <w:p w:rsidR="00710BB7" w:rsidRDefault="00710BB7" w:rsidP="002A0D41">
      <w:pPr>
        <w:tabs>
          <w:tab w:val="left" w:pos="4050"/>
        </w:tabs>
        <w:spacing w:after="0" w:line="240" w:lineRule="auto"/>
        <w:jc w:val="both"/>
      </w:pPr>
    </w:p>
    <w:p w:rsidR="00E23F3C" w:rsidRPr="00BD2C69" w:rsidRDefault="00E23F3C" w:rsidP="00BD2C69">
      <w:pPr>
        <w:tabs>
          <w:tab w:val="left" w:pos="4050"/>
        </w:tabs>
        <w:spacing w:after="0"/>
        <w:jc w:val="both"/>
        <w:rPr>
          <w:rFonts w:ascii="Verdana" w:hAnsi="Verdana"/>
          <w:b/>
          <w:sz w:val="20"/>
          <w:szCs w:val="20"/>
        </w:rPr>
      </w:pPr>
      <w:r w:rsidRPr="00BD2C69">
        <w:rPr>
          <w:rFonts w:ascii="Verdana" w:hAnsi="Verdana"/>
          <w:b/>
          <w:sz w:val="20"/>
          <w:szCs w:val="20"/>
        </w:rPr>
        <w:t>Liquidity Risks</w:t>
      </w:r>
    </w:p>
    <w:p w:rsidR="002A0D41" w:rsidRPr="00BD2C69" w:rsidRDefault="002A0D41" w:rsidP="00BD2C69">
      <w:pPr>
        <w:tabs>
          <w:tab w:val="left" w:pos="4050"/>
        </w:tabs>
        <w:spacing w:after="0"/>
        <w:jc w:val="both"/>
        <w:rPr>
          <w:rFonts w:ascii="Verdana" w:hAnsi="Verdana"/>
          <w:sz w:val="20"/>
          <w:szCs w:val="20"/>
        </w:rPr>
      </w:pPr>
      <w:r w:rsidRPr="00BD2C69">
        <w:rPr>
          <w:rFonts w:ascii="Verdana" w:hAnsi="Verdana"/>
          <w:sz w:val="20"/>
          <w:szCs w:val="20"/>
        </w:rPr>
        <w:t>Upon the completion of the restructuring in December 2013, the Group's existing loans were reduced to one secured loan of USD</w:t>
      </w:r>
      <w:r w:rsidR="001035E3" w:rsidRPr="00BD2C69">
        <w:rPr>
          <w:rFonts w:ascii="Verdana" w:hAnsi="Verdana"/>
          <w:sz w:val="20"/>
          <w:szCs w:val="20"/>
        </w:rPr>
        <w:t xml:space="preserve"> </w:t>
      </w:r>
      <w:r w:rsidRPr="00BD2C69">
        <w:rPr>
          <w:rFonts w:ascii="Verdana" w:hAnsi="Verdana"/>
          <w:sz w:val="20"/>
          <w:szCs w:val="20"/>
        </w:rPr>
        <w:t>100</w:t>
      </w:r>
      <w:r w:rsidR="001035E3" w:rsidRPr="00BD2C69">
        <w:rPr>
          <w:rFonts w:ascii="Verdana" w:hAnsi="Verdana"/>
          <w:sz w:val="20"/>
          <w:szCs w:val="20"/>
        </w:rPr>
        <w:t>.0</w:t>
      </w:r>
      <w:r w:rsidRPr="00BD2C69">
        <w:rPr>
          <w:rFonts w:ascii="Verdana" w:hAnsi="Verdana"/>
          <w:sz w:val="20"/>
          <w:szCs w:val="20"/>
        </w:rPr>
        <w:t xml:space="preserve"> million accompanied by a 364 days working capital facility of USD 4</w:t>
      </w:r>
      <w:r w:rsidR="001035E3" w:rsidRPr="00BD2C69">
        <w:rPr>
          <w:rFonts w:ascii="Verdana" w:hAnsi="Verdana"/>
          <w:sz w:val="20"/>
          <w:szCs w:val="20"/>
        </w:rPr>
        <w:t>.0</w:t>
      </w:r>
      <w:r w:rsidRPr="00BD2C69">
        <w:rPr>
          <w:rFonts w:ascii="Verdana" w:hAnsi="Verdana"/>
          <w:sz w:val="20"/>
          <w:szCs w:val="20"/>
        </w:rPr>
        <w:t xml:space="preserve"> million (the 'Working Capital Facility'). The Working Capital Facility was drawn in full upon completion of the restructuring to cover inter alia late payments from pools, accrued interest and swap interest payment under the existing loan agreements prior to restructuring. The Working Capital Facility matures on 18 December 2014.</w:t>
      </w:r>
    </w:p>
    <w:p w:rsidR="00E23F3C" w:rsidRPr="00BD2C69" w:rsidRDefault="00E23F3C" w:rsidP="00BD2C69">
      <w:pPr>
        <w:tabs>
          <w:tab w:val="left" w:pos="4050"/>
        </w:tabs>
        <w:spacing w:after="0"/>
        <w:jc w:val="both"/>
        <w:rPr>
          <w:rFonts w:ascii="Verdana" w:hAnsi="Verdana"/>
          <w:sz w:val="20"/>
          <w:szCs w:val="20"/>
        </w:rPr>
      </w:pPr>
    </w:p>
    <w:p w:rsidR="00B719B2" w:rsidRPr="00BD2C69" w:rsidRDefault="00B719B2" w:rsidP="00BD2C69">
      <w:pPr>
        <w:tabs>
          <w:tab w:val="left" w:pos="4050"/>
        </w:tabs>
        <w:spacing w:after="0"/>
        <w:jc w:val="both"/>
        <w:rPr>
          <w:rFonts w:ascii="Verdana" w:hAnsi="Verdana"/>
          <w:sz w:val="20"/>
          <w:szCs w:val="20"/>
        </w:rPr>
      </w:pPr>
      <w:r w:rsidRPr="00BD2C69">
        <w:rPr>
          <w:rFonts w:ascii="Verdana" w:hAnsi="Verdana"/>
          <w:sz w:val="20"/>
          <w:szCs w:val="20"/>
        </w:rPr>
        <w:t>As part of the restructuring, the Group needs to comply with minimum liquidity levels from 19 December 2014. Hence, the Group needs to monitor its liquidity carefully to ensure that it has sufficient liquidity to repay the Working Capital Facility upon its maturity, repay its scheduled interest payments and meet expected operational e</w:t>
      </w:r>
      <w:r w:rsidR="00710BB7" w:rsidRPr="00BD2C69">
        <w:rPr>
          <w:rFonts w:ascii="Verdana" w:hAnsi="Verdana"/>
          <w:sz w:val="20"/>
          <w:szCs w:val="20"/>
        </w:rPr>
        <w:t xml:space="preserve">xpenses. The Group's and </w:t>
      </w:r>
      <w:r w:rsidRPr="00BD2C69">
        <w:rPr>
          <w:rFonts w:ascii="Verdana" w:hAnsi="Verdana"/>
          <w:sz w:val="20"/>
          <w:szCs w:val="20"/>
        </w:rPr>
        <w:t>Company's cash resources consist of cash, which is placed with a leading Nordic bank with good creditworthiness.</w:t>
      </w:r>
    </w:p>
    <w:p w:rsidR="00E23F3C" w:rsidRPr="00BD2C69" w:rsidRDefault="00E23F3C" w:rsidP="00E23F3C">
      <w:pPr>
        <w:tabs>
          <w:tab w:val="left" w:pos="4050"/>
        </w:tabs>
        <w:spacing w:after="0" w:line="240" w:lineRule="auto"/>
        <w:jc w:val="both"/>
        <w:rPr>
          <w:rFonts w:ascii="Verdana" w:hAnsi="Verdana"/>
          <w:sz w:val="20"/>
          <w:szCs w:val="20"/>
        </w:rPr>
      </w:pPr>
    </w:p>
    <w:p w:rsidR="00B719B2" w:rsidRDefault="00690969" w:rsidP="00015D2C">
      <w:pPr>
        <w:tabs>
          <w:tab w:val="left" w:pos="4050"/>
        </w:tabs>
      </w:pPr>
      <w:r w:rsidRPr="00690969">
        <w:rPr>
          <w:noProof/>
          <w:lang w:val="da-DK" w:eastAsia="da-DK"/>
        </w:rPr>
        <w:drawing>
          <wp:inline distT="0" distB="0" distL="0" distR="0" wp14:anchorId="187C6896" wp14:editId="77C50A7F">
            <wp:extent cx="6300470" cy="687247"/>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00470" cy="687247"/>
                    </a:xfrm>
                    <a:prstGeom prst="rect">
                      <a:avLst/>
                    </a:prstGeom>
                    <a:noFill/>
                    <a:ln>
                      <a:noFill/>
                    </a:ln>
                  </pic:spPr>
                </pic:pic>
              </a:graphicData>
            </a:graphic>
          </wp:inline>
        </w:drawing>
      </w:r>
    </w:p>
    <w:p w:rsidR="00D9341F" w:rsidRDefault="00D9341F" w:rsidP="00015D2C">
      <w:pPr>
        <w:tabs>
          <w:tab w:val="left" w:pos="4050"/>
        </w:tabs>
      </w:pPr>
    </w:p>
    <w:p w:rsidR="00D9341F" w:rsidRDefault="00D9341F" w:rsidP="00015D2C">
      <w:pPr>
        <w:tabs>
          <w:tab w:val="left" w:pos="4050"/>
        </w:tabs>
      </w:pPr>
    </w:p>
    <w:p w:rsidR="00D9341F" w:rsidRDefault="00D9341F" w:rsidP="00015D2C">
      <w:pPr>
        <w:tabs>
          <w:tab w:val="left" w:pos="4050"/>
        </w:tabs>
      </w:pPr>
    </w:p>
    <w:p w:rsidR="00D9341F" w:rsidRDefault="00D9341F" w:rsidP="00015D2C">
      <w:pPr>
        <w:tabs>
          <w:tab w:val="left" w:pos="4050"/>
        </w:tabs>
      </w:pPr>
    </w:p>
    <w:p w:rsidR="00D9341F" w:rsidRDefault="00D9341F" w:rsidP="00015D2C">
      <w:pPr>
        <w:tabs>
          <w:tab w:val="left" w:pos="4050"/>
        </w:tabs>
      </w:pPr>
    </w:p>
    <w:p w:rsidR="00D9341F" w:rsidRDefault="00D9341F" w:rsidP="00015D2C">
      <w:pPr>
        <w:tabs>
          <w:tab w:val="left" w:pos="4050"/>
        </w:tabs>
      </w:pPr>
    </w:p>
    <w:p w:rsidR="00D9341F" w:rsidRDefault="00D9341F" w:rsidP="00015D2C">
      <w:pPr>
        <w:tabs>
          <w:tab w:val="left" w:pos="4050"/>
        </w:tabs>
      </w:pPr>
    </w:p>
    <w:p w:rsidR="00D9341F" w:rsidRDefault="00D9341F" w:rsidP="00015D2C">
      <w:pPr>
        <w:tabs>
          <w:tab w:val="left" w:pos="4050"/>
        </w:tabs>
      </w:pPr>
    </w:p>
    <w:p w:rsidR="00D9341F" w:rsidRDefault="00D9341F" w:rsidP="00015D2C">
      <w:pPr>
        <w:tabs>
          <w:tab w:val="left" w:pos="4050"/>
        </w:tabs>
      </w:pPr>
    </w:p>
    <w:p w:rsidR="00D9341F" w:rsidRDefault="00D9341F" w:rsidP="009F7F06">
      <w:pPr>
        <w:tabs>
          <w:tab w:val="left" w:pos="4050"/>
        </w:tabs>
        <w:spacing w:after="0"/>
        <w:rPr>
          <w:rFonts w:ascii="Verdana" w:hAnsi="Verdana"/>
          <w:b/>
          <w:sz w:val="20"/>
          <w:szCs w:val="20"/>
        </w:rPr>
      </w:pPr>
    </w:p>
    <w:p w:rsidR="009F7F06" w:rsidRPr="009F7F06" w:rsidRDefault="009F7F06" w:rsidP="009F7F06">
      <w:pPr>
        <w:tabs>
          <w:tab w:val="left" w:pos="4050"/>
        </w:tabs>
        <w:spacing w:after="0"/>
        <w:rPr>
          <w:rFonts w:ascii="Verdana" w:hAnsi="Verdana"/>
          <w:b/>
          <w:sz w:val="20"/>
          <w:szCs w:val="20"/>
        </w:rPr>
      </w:pPr>
      <w:r w:rsidRPr="009F7F06">
        <w:rPr>
          <w:rFonts w:ascii="Verdana" w:hAnsi="Verdana"/>
          <w:b/>
          <w:sz w:val="20"/>
          <w:szCs w:val="20"/>
        </w:rPr>
        <w:lastRenderedPageBreak/>
        <w:t>Maturities of liabilities</w:t>
      </w:r>
    </w:p>
    <w:p w:rsidR="009F7F06" w:rsidRDefault="009F7F06" w:rsidP="009F7F06">
      <w:pPr>
        <w:tabs>
          <w:tab w:val="left" w:pos="4050"/>
        </w:tabs>
        <w:spacing w:after="0"/>
        <w:rPr>
          <w:rFonts w:ascii="Verdana" w:hAnsi="Verdana"/>
          <w:sz w:val="20"/>
          <w:szCs w:val="20"/>
        </w:rPr>
      </w:pPr>
      <w:r w:rsidRPr="009F7F06">
        <w:rPr>
          <w:rFonts w:ascii="Verdana" w:hAnsi="Verdana"/>
          <w:sz w:val="20"/>
          <w:szCs w:val="20"/>
        </w:rPr>
        <w:t>The following table shows maturity of liabilities. The cashflows are shown including interests.</w:t>
      </w:r>
    </w:p>
    <w:p w:rsidR="00D9341F" w:rsidRDefault="00D9341F" w:rsidP="009F7F06">
      <w:pPr>
        <w:tabs>
          <w:tab w:val="left" w:pos="4050"/>
        </w:tabs>
        <w:spacing w:after="0"/>
        <w:rPr>
          <w:rFonts w:ascii="Verdana" w:hAnsi="Verdana"/>
          <w:sz w:val="20"/>
          <w:szCs w:val="20"/>
        </w:rPr>
      </w:pPr>
    </w:p>
    <w:p w:rsidR="00E23F3C" w:rsidRDefault="00877011" w:rsidP="00015D2C">
      <w:pPr>
        <w:tabs>
          <w:tab w:val="left" w:pos="4050"/>
        </w:tabs>
      </w:pPr>
      <w:r w:rsidRPr="00877011">
        <w:rPr>
          <w:noProof/>
          <w:lang w:val="da-DK" w:eastAsia="da-DK"/>
        </w:rPr>
        <w:drawing>
          <wp:inline distT="0" distB="0" distL="0" distR="0" wp14:anchorId="5D309954" wp14:editId="2C771AA3">
            <wp:extent cx="6300470" cy="3765847"/>
            <wp:effectExtent l="0" t="0" r="508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00470" cy="3765847"/>
                    </a:xfrm>
                    <a:prstGeom prst="rect">
                      <a:avLst/>
                    </a:prstGeom>
                    <a:noFill/>
                    <a:ln>
                      <a:noFill/>
                    </a:ln>
                  </pic:spPr>
                </pic:pic>
              </a:graphicData>
            </a:graphic>
          </wp:inline>
        </w:drawing>
      </w:r>
    </w:p>
    <w:p w:rsidR="00E23F3C" w:rsidRDefault="00E23F3C" w:rsidP="00015D2C">
      <w:pPr>
        <w:tabs>
          <w:tab w:val="left" w:pos="4050"/>
        </w:tabs>
      </w:pPr>
    </w:p>
    <w:p w:rsidR="00E23F3C" w:rsidRDefault="00877011" w:rsidP="00015D2C">
      <w:pPr>
        <w:tabs>
          <w:tab w:val="left" w:pos="4050"/>
        </w:tabs>
      </w:pPr>
      <w:r w:rsidRPr="00877011">
        <w:rPr>
          <w:noProof/>
          <w:lang w:val="da-DK" w:eastAsia="da-DK"/>
        </w:rPr>
        <w:drawing>
          <wp:inline distT="0" distB="0" distL="0" distR="0" wp14:anchorId="7045A100" wp14:editId="3A3E6946">
            <wp:extent cx="6300470" cy="3765847"/>
            <wp:effectExtent l="0" t="0" r="508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00470" cy="3765847"/>
                    </a:xfrm>
                    <a:prstGeom prst="rect">
                      <a:avLst/>
                    </a:prstGeom>
                    <a:noFill/>
                    <a:ln>
                      <a:noFill/>
                    </a:ln>
                  </pic:spPr>
                </pic:pic>
              </a:graphicData>
            </a:graphic>
          </wp:inline>
        </w:drawing>
      </w:r>
    </w:p>
    <w:p w:rsidR="00E23F3C" w:rsidRDefault="00E23F3C" w:rsidP="00E23F3C">
      <w:pPr>
        <w:tabs>
          <w:tab w:val="left" w:pos="4050"/>
        </w:tabs>
        <w:spacing w:after="0" w:line="240" w:lineRule="auto"/>
        <w:jc w:val="both"/>
        <w:rPr>
          <w:rFonts w:ascii="Verdana" w:hAnsi="Verdana"/>
          <w:b/>
          <w:sz w:val="20"/>
          <w:szCs w:val="20"/>
        </w:rPr>
      </w:pPr>
    </w:p>
    <w:p w:rsidR="00D9341F" w:rsidRDefault="00D9341F" w:rsidP="00BD2C69">
      <w:pPr>
        <w:tabs>
          <w:tab w:val="left" w:pos="4050"/>
        </w:tabs>
        <w:spacing w:after="0"/>
        <w:jc w:val="both"/>
        <w:rPr>
          <w:rFonts w:ascii="Verdana" w:hAnsi="Verdana"/>
          <w:b/>
          <w:sz w:val="20"/>
          <w:szCs w:val="20"/>
        </w:rPr>
      </w:pPr>
    </w:p>
    <w:p w:rsidR="00D9341F" w:rsidRDefault="00D9341F" w:rsidP="00BD2C69">
      <w:pPr>
        <w:tabs>
          <w:tab w:val="left" w:pos="4050"/>
        </w:tabs>
        <w:spacing w:after="0"/>
        <w:jc w:val="both"/>
        <w:rPr>
          <w:rFonts w:ascii="Verdana" w:hAnsi="Verdana"/>
          <w:b/>
          <w:sz w:val="20"/>
          <w:szCs w:val="20"/>
        </w:rPr>
      </w:pPr>
    </w:p>
    <w:p w:rsidR="00E23F3C" w:rsidRPr="00E23F3C" w:rsidRDefault="00E23F3C" w:rsidP="00BD2C69">
      <w:pPr>
        <w:tabs>
          <w:tab w:val="left" w:pos="4050"/>
        </w:tabs>
        <w:spacing w:after="0"/>
        <w:jc w:val="both"/>
        <w:rPr>
          <w:rFonts w:ascii="Verdana" w:hAnsi="Verdana"/>
          <w:b/>
          <w:sz w:val="20"/>
          <w:szCs w:val="20"/>
        </w:rPr>
      </w:pPr>
      <w:r>
        <w:rPr>
          <w:rFonts w:ascii="Verdana" w:hAnsi="Verdana"/>
          <w:b/>
          <w:sz w:val="20"/>
          <w:szCs w:val="20"/>
        </w:rPr>
        <w:lastRenderedPageBreak/>
        <w:t>B</w:t>
      </w:r>
      <w:r w:rsidRPr="00E23F3C">
        <w:rPr>
          <w:rFonts w:ascii="Verdana" w:hAnsi="Verdana"/>
          <w:b/>
          <w:sz w:val="20"/>
          <w:szCs w:val="20"/>
        </w:rPr>
        <w:t>reach of loan agreements</w:t>
      </w:r>
    </w:p>
    <w:p w:rsidR="00E23F3C" w:rsidRPr="00E23F3C" w:rsidRDefault="00E23F3C" w:rsidP="00BD2C69">
      <w:pPr>
        <w:tabs>
          <w:tab w:val="left" w:pos="4050"/>
        </w:tabs>
        <w:spacing w:after="0"/>
        <w:jc w:val="both"/>
        <w:rPr>
          <w:rFonts w:ascii="Verdana" w:hAnsi="Verdana"/>
          <w:sz w:val="20"/>
          <w:szCs w:val="20"/>
        </w:rPr>
      </w:pPr>
      <w:r w:rsidRPr="00E23F3C">
        <w:rPr>
          <w:rFonts w:ascii="Verdana" w:hAnsi="Verdana"/>
          <w:sz w:val="20"/>
          <w:szCs w:val="20"/>
        </w:rPr>
        <w:t>The Group has not neglected or breached any loan agreement terms in the financial year or the comparative year as the Group was granted a moratorium on instalments and covenants.</w:t>
      </w:r>
    </w:p>
    <w:p w:rsidR="00E23F3C" w:rsidRDefault="00E23F3C" w:rsidP="00BD2C69">
      <w:pPr>
        <w:tabs>
          <w:tab w:val="left" w:pos="4050"/>
        </w:tabs>
        <w:spacing w:after="0"/>
        <w:jc w:val="both"/>
        <w:rPr>
          <w:rFonts w:ascii="Verdana" w:hAnsi="Verdana"/>
          <w:b/>
          <w:sz w:val="20"/>
          <w:szCs w:val="20"/>
        </w:rPr>
      </w:pPr>
    </w:p>
    <w:p w:rsidR="00E23F3C" w:rsidRPr="00E23F3C" w:rsidRDefault="00E23F3C" w:rsidP="00BD2C69">
      <w:pPr>
        <w:tabs>
          <w:tab w:val="left" w:pos="4050"/>
        </w:tabs>
        <w:spacing w:after="0"/>
        <w:jc w:val="both"/>
        <w:rPr>
          <w:rFonts w:ascii="Verdana" w:hAnsi="Verdana"/>
          <w:b/>
          <w:sz w:val="20"/>
          <w:szCs w:val="20"/>
        </w:rPr>
      </w:pPr>
      <w:r w:rsidRPr="00E23F3C">
        <w:rPr>
          <w:rFonts w:ascii="Verdana" w:hAnsi="Verdana"/>
          <w:b/>
          <w:sz w:val="20"/>
          <w:szCs w:val="20"/>
        </w:rPr>
        <w:t>Credit risks</w:t>
      </w:r>
    </w:p>
    <w:p w:rsidR="00E23F3C" w:rsidRPr="00BD2C69" w:rsidRDefault="00E23F3C" w:rsidP="00BD2C69">
      <w:pPr>
        <w:tabs>
          <w:tab w:val="left" w:pos="4050"/>
        </w:tabs>
        <w:spacing w:after="0"/>
        <w:jc w:val="both"/>
        <w:rPr>
          <w:rFonts w:ascii="Verdana" w:hAnsi="Verdana"/>
          <w:sz w:val="20"/>
          <w:szCs w:val="20"/>
        </w:rPr>
      </w:pPr>
      <w:r w:rsidRPr="00BD2C69">
        <w:rPr>
          <w:rFonts w:ascii="Verdana" w:hAnsi="Verdana"/>
          <w:sz w:val="20"/>
          <w:szCs w:val="20"/>
        </w:rPr>
        <w:t>It is the Group's policy to cooperate with recognised pool partners and only grant credit to oil majors and other first class customers in order to minimise credit risks. As such, the Group’s credit risk relates to receivables from these first class customers and oil majors from pool arrangements contracted with recognised business partners in the product tanker segment. The credit risk is deemed to be minimal and consequently, receivables are not hedged. The Group’s maximum credit risk associated with receivables corresponds to their carrying amounts.</w:t>
      </w:r>
    </w:p>
    <w:p w:rsidR="00E23F3C" w:rsidRDefault="00E23F3C" w:rsidP="00E23F3C">
      <w:pPr>
        <w:tabs>
          <w:tab w:val="left" w:pos="4050"/>
        </w:tabs>
        <w:spacing w:after="0" w:line="240" w:lineRule="auto"/>
        <w:jc w:val="both"/>
        <w:rPr>
          <w:rFonts w:ascii="Verdana" w:hAnsi="Verdana"/>
          <w:sz w:val="20"/>
          <w:szCs w:val="20"/>
        </w:rPr>
      </w:pPr>
    </w:p>
    <w:p w:rsidR="00E23F3C" w:rsidRDefault="008C5D07" w:rsidP="00E23F3C">
      <w:pPr>
        <w:tabs>
          <w:tab w:val="left" w:pos="4050"/>
        </w:tabs>
        <w:spacing w:after="0" w:line="240" w:lineRule="auto"/>
        <w:jc w:val="both"/>
        <w:rPr>
          <w:rFonts w:ascii="Verdana" w:hAnsi="Verdana"/>
          <w:sz w:val="20"/>
          <w:szCs w:val="20"/>
        </w:rPr>
      </w:pPr>
      <w:r w:rsidRPr="008C5D07">
        <w:rPr>
          <w:noProof/>
          <w:lang w:val="da-DK" w:eastAsia="da-DK"/>
        </w:rPr>
        <w:drawing>
          <wp:inline distT="0" distB="0" distL="0" distR="0" wp14:anchorId="0759680B" wp14:editId="0BF917A9">
            <wp:extent cx="6300470" cy="2261303"/>
            <wp:effectExtent l="0" t="0" r="508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00470" cy="2261303"/>
                    </a:xfrm>
                    <a:prstGeom prst="rect">
                      <a:avLst/>
                    </a:prstGeom>
                    <a:noFill/>
                    <a:ln>
                      <a:noFill/>
                    </a:ln>
                  </pic:spPr>
                </pic:pic>
              </a:graphicData>
            </a:graphic>
          </wp:inline>
        </w:drawing>
      </w:r>
    </w:p>
    <w:p w:rsidR="00E23F3C" w:rsidRDefault="00E23F3C" w:rsidP="00E23F3C">
      <w:pPr>
        <w:tabs>
          <w:tab w:val="left" w:pos="4050"/>
        </w:tabs>
        <w:spacing w:after="0" w:line="240" w:lineRule="auto"/>
        <w:jc w:val="both"/>
        <w:rPr>
          <w:rFonts w:ascii="Verdana" w:hAnsi="Verdana"/>
          <w:sz w:val="20"/>
          <w:szCs w:val="20"/>
        </w:rPr>
      </w:pPr>
    </w:p>
    <w:p w:rsidR="00E23F3C" w:rsidRDefault="00E23F3C" w:rsidP="00E23F3C">
      <w:pPr>
        <w:tabs>
          <w:tab w:val="left" w:pos="4050"/>
        </w:tabs>
        <w:spacing w:after="0" w:line="240" w:lineRule="auto"/>
        <w:jc w:val="both"/>
        <w:rPr>
          <w:rFonts w:ascii="Verdana" w:hAnsi="Verdana"/>
          <w:sz w:val="20"/>
          <w:szCs w:val="20"/>
        </w:rPr>
      </w:pPr>
    </w:p>
    <w:p w:rsidR="00E23F3C" w:rsidRDefault="008C5D07" w:rsidP="00E23F3C">
      <w:pPr>
        <w:tabs>
          <w:tab w:val="left" w:pos="4050"/>
        </w:tabs>
        <w:spacing w:after="0" w:line="240" w:lineRule="auto"/>
        <w:jc w:val="both"/>
        <w:rPr>
          <w:rFonts w:ascii="Verdana" w:hAnsi="Verdana"/>
          <w:sz w:val="20"/>
          <w:szCs w:val="20"/>
        </w:rPr>
      </w:pPr>
      <w:r w:rsidRPr="008C5D07">
        <w:rPr>
          <w:noProof/>
          <w:lang w:val="da-DK" w:eastAsia="da-DK"/>
        </w:rPr>
        <w:drawing>
          <wp:inline distT="0" distB="0" distL="0" distR="0" wp14:anchorId="6E0D6191" wp14:editId="1264FA34">
            <wp:extent cx="6300470" cy="2096922"/>
            <wp:effectExtent l="0" t="0" r="508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00470" cy="2096922"/>
                    </a:xfrm>
                    <a:prstGeom prst="rect">
                      <a:avLst/>
                    </a:prstGeom>
                    <a:noFill/>
                    <a:ln>
                      <a:noFill/>
                    </a:ln>
                  </pic:spPr>
                </pic:pic>
              </a:graphicData>
            </a:graphic>
          </wp:inline>
        </w:drawing>
      </w:r>
    </w:p>
    <w:p w:rsidR="00E23F3C" w:rsidRDefault="00E23F3C" w:rsidP="00E23F3C">
      <w:pPr>
        <w:tabs>
          <w:tab w:val="left" w:pos="4050"/>
        </w:tabs>
        <w:spacing w:after="0" w:line="240" w:lineRule="auto"/>
        <w:jc w:val="both"/>
        <w:rPr>
          <w:rFonts w:ascii="Verdana" w:hAnsi="Verdana"/>
          <w:sz w:val="20"/>
          <w:szCs w:val="20"/>
        </w:rPr>
      </w:pPr>
    </w:p>
    <w:p w:rsidR="00E23F3C" w:rsidRDefault="00E23F3C" w:rsidP="00E23F3C">
      <w:pPr>
        <w:tabs>
          <w:tab w:val="left" w:pos="4050"/>
        </w:tabs>
        <w:spacing w:after="0" w:line="240" w:lineRule="auto"/>
        <w:jc w:val="both"/>
        <w:rPr>
          <w:rFonts w:ascii="Verdana" w:hAnsi="Verdana"/>
          <w:sz w:val="20"/>
          <w:szCs w:val="20"/>
        </w:rPr>
      </w:pPr>
      <w:r w:rsidRPr="00E23F3C">
        <w:rPr>
          <w:rFonts w:ascii="Verdana" w:hAnsi="Verdana"/>
          <w:sz w:val="20"/>
          <w:szCs w:val="20"/>
        </w:rPr>
        <w:t>There are no overdue receivables in Year 2013 and Year 2012.</w:t>
      </w:r>
    </w:p>
    <w:p w:rsidR="00690969" w:rsidRDefault="00690969" w:rsidP="00E23F3C">
      <w:pPr>
        <w:tabs>
          <w:tab w:val="left" w:pos="4050"/>
        </w:tabs>
        <w:spacing w:after="0" w:line="240" w:lineRule="auto"/>
        <w:jc w:val="both"/>
        <w:rPr>
          <w:rFonts w:ascii="Verdana" w:hAnsi="Verdana"/>
          <w:sz w:val="20"/>
          <w:szCs w:val="20"/>
        </w:rPr>
      </w:pPr>
    </w:p>
    <w:p w:rsidR="00690969" w:rsidRDefault="00690969"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Default="00D9341F" w:rsidP="00E23F3C">
      <w:pPr>
        <w:tabs>
          <w:tab w:val="left" w:pos="4050"/>
        </w:tabs>
        <w:spacing w:after="0" w:line="240" w:lineRule="auto"/>
        <w:jc w:val="both"/>
        <w:rPr>
          <w:rFonts w:ascii="Verdana" w:hAnsi="Verdana"/>
          <w:sz w:val="20"/>
          <w:szCs w:val="20"/>
        </w:rPr>
      </w:pPr>
    </w:p>
    <w:p w:rsidR="00D9341F" w:rsidRPr="00E23F3C" w:rsidRDefault="00D9341F" w:rsidP="00E23F3C">
      <w:pPr>
        <w:tabs>
          <w:tab w:val="left" w:pos="4050"/>
        </w:tabs>
        <w:spacing w:after="0" w:line="240" w:lineRule="auto"/>
        <w:jc w:val="both"/>
        <w:rPr>
          <w:rFonts w:ascii="Verdana" w:hAnsi="Verdana"/>
          <w:sz w:val="20"/>
          <w:szCs w:val="20"/>
        </w:rPr>
      </w:pPr>
    </w:p>
    <w:p w:rsidR="003C4ABD" w:rsidRDefault="003C4ABD" w:rsidP="00690969">
      <w:pPr>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lastRenderedPageBreak/>
        <w:t xml:space="preserve">19. </w:t>
      </w:r>
      <w:r>
        <w:rPr>
          <w:rStyle w:val="Strong"/>
          <w:rFonts w:ascii="Verdana" w:hAnsi="Verdana" w:cstheme="minorHAnsi"/>
          <w:color w:val="95B3D7" w:themeColor="accent1" w:themeTint="99"/>
          <w:sz w:val="20"/>
          <w:szCs w:val="20"/>
        </w:rPr>
        <w:tab/>
        <w:t>Finance loans</w:t>
      </w:r>
    </w:p>
    <w:p w:rsidR="003C4ABD" w:rsidRDefault="00877011" w:rsidP="003C4ABD">
      <w:pPr>
        <w:jc w:val="both"/>
        <w:rPr>
          <w:rStyle w:val="Strong"/>
          <w:rFonts w:ascii="Verdana" w:hAnsi="Verdana" w:cstheme="minorHAnsi"/>
          <w:color w:val="95B3D7" w:themeColor="accent1" w:themeTint="99"/>
          <w:sz w:val="20"/>
          <w:szCs w:val="20"/>
        </w:rPr>
      </w:pPr>
      <w:r w:rsidRPr="00877011">
        <w:rPr>
          <w:rStyle w:val="Strong"/>
          <w:b w:val="0"/>
          <w:bCs w:val="0"/>
          <w:noProof/>
          <w:lang w:val="da-DK" w:eastAsia="da-DK"/>
        </w:rPr>
        <w:drawing>
          <wp:inline distT="0" distB="0" distL="0" distR="0" wp14:anchorId="46DF608D" wp14:editId="0287DBE4">
            <wp:extent cx="6300470" cy="4198466"/>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00470" cy="4198466"/>
                    </a:xfrm>
                    <a:prstGeom prst="rect">
                      <a:avLst/>
                    </a:prstGeom>
                    <a:noFill/>
                    <a:ln>
                      <a:noFill/>
                    </a:ln>
                  </pic:spPr>
                </pic:pic>
              </a:graphicData>
            </a:graphic>
          </wp:inline>
        </w:drawing>
      </w:r>
    </w:p>
    <w:p w:rsidR="000E4F3B" w:rsidRDefault="000E4F3B" w:rsidP="00BD2C69">
      <w:pPr>
        <w:spacing w:after="0"/>
        <w:jc w:val="both"/>
        <w:rPr>
          <w:rFonts w:ascii="Verdana" w:hAnsi="Verdana"/>
          <w:sz w:val="20"/>
          <w:szCs w:val="20"/>
        </w:rPr>
      </w:pPr>
      <w:r w:rsidRPr="006B7F33">
        <w:rPr>
          <w:rFonts w:ascii="Verdana" w:hAnsi="Verdana"/>
          <w:sz w:val="20"/>
          <w:szCs w:val="20"/>
        </w:rPr>
        <w:t>As part of the restructuring in December 2013, finance loans (and</w:t>
      </w:r>
      <w:r w:rsidR="00ED2604">
        <w:rPr>
          <w:rFonts w:ascii="Verdana" w:hAnsi="Verdana"/>
          <w:sz w:val="20"/>
          <w:szCs w:val="20"/>
        </w:rPr>
        <w:t xml:space="preserve"> interest rate</w:t>
      </w:r>
      <w:r w:rsidRPr="006B7F33">
        <w:rPr>
          <w:rFonts w:ascii="Verdana" w:hAnsi="Verdana"/>
          <w:sz w:val="20"/>
          <w:szCs w:val="20"/>
        </w:rPr>
        <w:t xml:space="preserve"> swap)</w:t>
      </w:r>
      <w:r w:rsidR="006B7F33" w:rsidRPr="006B7F33">
        <w:rPr>
          <w:rFonts w:ascii="Verdana" w:hAnsi="Verdana"/>
          <w:sz w:val="20"/>
          <w:szCs w:val="20"/>
        </w:rPr>
        <w:t xml:space="preserve"> in the Company</w:t>
      </w:r>
      <w:r w:rsidRPr="006B7F33">
        <w:rPr>
          <w:rFonts w:ascii="Verdana" w:hAnsi="Verdana"/>
          <w:sz w:val="20"/>
          <w:szCs w:val="20"/>
        </w:rPr>
        <w:t xml:space="preserve"> amounting to USD</w:t>
      </w:r>
      <w:r w:rsidR="00D862E9">
        <w:rPr>
          <w:rFonts w:ascii="Verdana" w:hAnsi="Verdana"/>
          <w:sz w:val="20"/>
          <w:szCs w:val="20"/>
        </w:rPr>
        <w:t xml:space="preserve"> </w:t>
      </w:r>
      <w:r w:rsidR="006B7F33" w:rsidRPr="006B7F33">
        <w:rPr>
          <w:rFonts w:ascii="Verdana" w:hAnsi="Verdana"/>
          <w:sz w:val="20"/>
          <w:szCs w:val="20"/>
        </w:rPr>
        <w:t>17.0</w:t>
      </w:r>
      <w:r w:rsidRPr="006B7F33">
        <w:rPr>
          <w:rFonts w:ascii="Verdana" w:hAnsi="Verdana"/>
          <w:sz w:val="20"/>
          <w:szCs w:val="20"/>
        </w:rPr>
        <w:t xml:space="preserve"> million</w:t>
      </w:r>
      <w:r w:rsidR="00877011">
        <w:rPr>
          <w:rFonts w:ascii="Verdana" w:hAnsi="Verdana"/>
          <w:sz w:val="20"/>
          <w:szCs w:val="20"/>
        </w:rPr>
        <w:t xml:space="preserve"> as well as loans transferred from subsidiaries</w:t>
      </w:r>
      <w:r w:rsidRPr="006B7F33">
        <w:rPr>
          <w:rFonts w:ascii="Verdana" w:hAnsi="Verdana"/>
          <w:sz w:val="20"/>
          <w:szCs w:val="20"/>
        </w:rPr>
        <w:t xml:space="preserve"> were converted into new shares.  The remaining loan of USD</w:t>
      </w:r>
      <w:r w:rsidR="00D862E9">
        <w:rPr>
          <w:rFonts w:ascii="Verdana" w:hAnsi="Verdana"/>
          <w:sz w:val="20"/>
          <w:szCs w:val="20"/>
        </w:rPr>
        <w:t xml:space="preserve"> </w:t>
      </w:r>
      <w:r w:rsidR="006B7F33" w:rsidRPr="006B7F33">
        <w:rPr>
          <w:rFonts w:ascii="Verdana" w:hAnsi="Verdana"/>
          <w:sz w:val="20"/>
          <w:szCs w:val="20"/>
        </w:rPr>
        <w:t>22.0</w:t>
      </w:r>
      <w:r w:rsidRPr="006B7F33">
        <w:rPr>
          <w:rFonts w:ascii="Verdana" w:hAnsi="Verdana"/>
          <w:sz w:val="20"/>
          <w:szCs w:val="20"/>
        </w:rPr>
        <w:t xml:space="preserve"> million was re-financed into a new 7-year facility with no principal amortisation in Year 2014, subject to a cash sweep mechanism and new covenants.  </w:t>
      </w:r>
    </w:p>
    <w:p w:rsidR="00D9341F" w:rsidRDefault="00D9341F" w:rsidP="00BD2C69">
      <w:pPr>
        <w:spacing w:after="0"/>
        <w:jc w:val="both"/>
        <w:rPr>
          <w:rFonts w:ascii="Verdana" w:hAnsi="Verdana"/>
          <w:sz w:val="20"/>
          <w:szCs w:val="20"/>
        </w:rPr>
      </w:pPr>
    </w:p>
    <w:p w:rsidR="003C4ABD" w:rsidRPr="006B7F33" w:rsidRDefault="003C4ABD" w:rsidP="00BD2C69">
      <w:pPr>
        <w:spacing w:after="0"/>
        <w:jc w:val="both"/>
        <w:rPr>
          <w:rStyle w:val="Strong"/>
          <w:rFonts w:ascii="Verdana" w:hAnsi="Verdana" w:cstheme="minorHAnsi"/>
          <w:b w:val="0"/>
          <w:sz w:val="20"/>
          <w:szCs w:val="20"/>
        </w:rPr>
      </w:pPr>
      <w:r w:rsidRPr="006B7F33">
        <w:rPr>
          <w:rStyle w:val="Strong"/>
          <w:rFonts w:ascii="Verdana" w:hAnsi="Verdana" w:cstheme="minorHAnsi"/>
          <w:b w:val="0"/>
          <w:sz w:val="20"/>
          <w:szCs w:val="20"/>
        </w:rPr>
        <w:t>As the Group is in the process of transferring all its vessels to separate legal entities in Singapore, the underlying loan for each vessel will also be transferred together. Hence, once the Company transferred its vessel to a separate legal entity in Singapore, it will no longer recognise a finance loan in its books.</w:t>
      </w:r>
    </w:p>
    <w:p w:rsidR="003C4ABD" w:rsidRPr="006B7F33" w:rsidRDefault="003C4ABD" w:rsidP="00BD2C69">
      <w:pPr>
        <w:spacing w:after="0"/>
        <w:jc w:val="both"/>
        <w:rPr>
          <w:rStyle w:val="Strong"/>
          <w:rFonts w:ascii="Verdana" w:hAnsi="Verdana" w:cstheme="minorHAnsi"/>
          <w:b w:val="0"/>
          <w:sz w:val="20"/>
          <w:szCs w:val="20"/>
        </w:rPr>
      </w:pPr>
    </w:p>
    <w:p w:rsidR="003C4ABD" w:rsidRPr="006B7F33" w:rsidRDefault="003C4ABD" w:rsidP="00BD2C69">
      <w:pPr>
        <w:spacing w:after="0"/>
        <w:jc w:val="both"/>
        <w:rPr>
          <w:rStyle w:val="Strong"/>
          <w:rFonts w:ascii="Verdana" w:hAnsi="Verdana" w:cstheme="minorHAnsi"/>
          <w:b w:val="0"/>
          <w:sz w:val="20"/>
          <w:szCs w:val="20"/>
        </w:rPr>
      </w:pPr>
      <w:r w:rsidRPr="006B7F33">
        <w:rPr>
          <w:rStyle w:val="Strong"/>
          <w:rFonts w:ascii="Verdana" w:hAnsi="Verdana" w:cstheme="minorHAnsi"/>
          <w:b w:val="0"/>
          <w:sz w:val="20"/>
          <w:szCs w:val="20"/>
        </w:rPr>
        <w:t>In connection with the acquisition of the management activities from Clipper Group in January 2010, it was agreed that the payment for the activities would be made as a contingent consideration depending on the financial performance of Nordic Tankers Management A/S and Nordic Tankers Marine Services A/S during the period 2010-2013. End 2012 the total consideration amounted to USD 6.6 million.</w:t>
      </w:r>
    </w:p>
    <w:p w:rsidR="000E4F3B" w:rsidRPr="006B7F33" w:rsidRDefault="000E4F3B" w:rsidP="00BD2C69">
      <w:pPr>
        <w:spacing w:after="0"/>
        <w:jc w:val="both"/>
        <w:rPr>
          <w:rStyle w:val="Strong"/>
          <w:rFonts w:ascii="Verdana" w:hAnsi="Verdana" w:cstheme="minorHAnsi"/>
          <w:b w:val="0"/>
          <w:sz w:val="20"/>
          <w:szCs w:val="20"/>
        </w:rPr>
      </w:pPr>
    </w:p>
    <w:p w:rsidR="003C4ABD" w:rsidRPr="006B7F33" w:rsidRDefault="003C4ABD" w:rsidP="00BD2C69">
      <w:pPr>
        <w:spacing w:after="0"/>
        <w:jc w:val="both"/>
        <w:rPr>
          <w:rStyle w:val="Strong"/>
          <w:rFonts w:ascii="Verdana" w:hAnsi="Verdana" w:cstheme="minorHAnsi"/>
          <w:b w:val="0"/>
          <w:sz w:val="20"/>
          <w:szCs w:val="20"/>
        </w:rPr>
      </w:pPr>
      <w:r w:rsidRPr="006B7F33">
        <w:rPr>
          <w:rStyle w:val="Strong"/>
          <w:rFonts w:ascii="Verdana" w:hAnsi="Verdana" w:cstheme="minorHAnsi"/>
          <w:b w:val="0"/>
          <w:sz w:val="20"/>
          <w:szCs w:val="20"/>
        </w:rPr>
        <w:t>In connection with the divestment of the chemical tanker activities in Nordic Shipholding A/S as referred to in company announcement no. 1/2012 and no. 5/2012 a vendor note with a total principal of USD 20</w:t>
      </w:r>
      <w:r w:rsidR="00D862E9">
        <w:rPr>
          <w:rStyle w:val="Strong"/>
          <w:rFonts w:ascii="Verdana" w:hAnsi="Verdana" w:cstheme="minorHAnsi"/>
          <w:b w:val="0"/>
          <w:sz w:val="20"/>
          <w:szCs w:val="20"/>
        </w:rPr>
        <w:t>.0</w:t>
      </w:r>
      <w:r w:rsidRPr="006B7F33">
        <w:rPr>
          <w:rStyle w:val="Strong"/>
          <w:rFonts w:ascii="Verdana" w:hAnsi="Verdana" w:cstheme="minorHAnsi"/>
          <w:b w:val="0"/>
          <w:sz w:val="20"/>
          <w:szCs w:val="20"/>
        </w:rPr>
        <w:t xml:space="preserve"> million was issued by Nordic Tankers Shipowning A/S in favour of the Company. The option allows Nordic Shipholding A/S to assign the vendor note to Clipper Group A/S </w:t>
      </w:r>
      <w:r w:rsidR="008E7834">
        <w:rPr>
          <w:rStyle w:val="Strong"/>
          <w:rFonts w:ascii="Verdana" w:hAnsi="Verdana" w:cstheme="minorHAnsi"/>
          <w:b w:val="0"/>
          <w:sz w:val="20"/>
          <w:szCs w:val="20"/>
        </w:rPr>
        <w:t>against the termination of the C</w:t>
      </w:r>
      <w:r w:rsidRPr="006B7F33">
        <w:rPr>
          <w:rStyle w:val="Strong"/>
          <w:rFonts w:ascii="Verdana" w:hAnsi="Verdana" w:cstheme="minorHAnsi"/>
          <w:b w:val="0"/>
          <w:sz w:val="20"/>
          <w:szCs w:val="20"/>
        </w:rPr>
        <w:t>ompany's obligations towards Clipper Group A/S in an aggregate amount of USD 15.1 million.</w:t>
      </w:r>
    </w:p>
    <w:p w:rsidR="003C4ABD" w:rsidRDefault="00877011" w:rsidP="003C4ABD">
      <w:pPr>
        <w:jc w:val="both"/>
        <w:rPr>
          <w:rStyle w:val="Strong"/>
          <w:rFonts w:ascii="Verdana" w:hAnsi="Verdana" w:cstheme="minorHAnsi"/>
          <w:b w:val="0"/>
          <w:sz w:val="20"/>
          <w:szCs w:val="20"/>
        </w:rPr>
      </w:pPr>
      <w:r w:rsidRPr="00877011">
        <w:rPr>
          <w:rStyle w:val="Strong"/>
          <w:b w:val="0"/>
          <w:bCs w:val="0"/>
          <w:noProof/>
          <w:lang w:val="da-DK" w:eastAsia="da-DK"/>
        </w:rPr>
        <w:lastRenderedPageBreak/>
        <w:drawing>
          <wp:inline distT="0" distB="0" distL="0" distR="0" wp14:anchorId="310B6510" wp14:editId="1D30E93D">
            <wp:extent cx="6300470" cy="4521804"/>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00470" cy="4521804"/>
                    </a:xfrm>
                    <a:prstGeom prst="rect">
                      <a:avLst/>
                    </a:prstGeom>
                    <a:noFill/>
                    <a:ln>
                      <a:noFill/>
                    </a:ln>
                  </pic:spPr>
                </pic:pic>
              </a:graphicData>
            </a:graphic>
          </wp:inline>
        </w:drawing>
      </w:r>
    </w:p>
    <w:p w:rsidR="003C4ABD" w:rsidRDefault="00D46F43" w:rsidP="00BD2C69">
      <w:pPr>
        <w:spacing w:after="0"/>
        <w:jc w:val="both"/>
        <w:rPr>
          <w:rStyle w:val="Strong"/>
          <w:rFonts w:ascii="Verdana" w:hAnsi="Verdana" w:cstheme="minorHAnsi"/>
          <w:b w:val="0"/>
          <w:sz w:val="20"/>
          <w:szCs w:val="20"/>
        </w:rPr>
      </w:pPr>
      <w:r>
        <w:rPr>
          <w:rStyle w:val="Strong"/>
          <w:rFonts w:ascii="Verdana" w:hAnsi="Verdana" w:cstheme="minorHAnsi"/>
          <w:b w:val="0"/>
          <w:sz w:val="20"/>
          <w:szCs w:val="20"/>
        </w:rPr>
        <w:t xml:space="preserve">The fair value of the </w:t>
      </w:r>
      <w:r w:rsidR="003C4ABD" w:rsidRPr="00D46F43">
        <w:rPr>
          <w:rStyle w:val="Strong"/>
          <w:rFonts w:ascii="Verdana" w:hAnsi="Verdana" w:cstheme="minorHAnsi"/>
          <w:b w:val="0"/>
          <w:sz w:val="20"/>
          <w:szCs w:val="20"/>
        </w:rPr>
        <w:t>Company’s and Group’s finance loans</w:t>
      </w:r>
      <w:r w:rsidR="00AA3A53">
        <w:rPr>
          <w:rStyle w:val="Strong"/>
          <w:rFonts w:ascii="Verdana" w:hAnsi="Verdana" w:cstheme="minorHAnsi"/>
          <w:b w:val="0"/>
          <w:sz w:val="20"/>
          <w:szCs w:val="20"/>
        </w:rPr>
        <w:t xml:space="preserve"> and working capital</w:t>
      </w:r>
      <w:r w:rsidR="003C4ABD" w:rsidRPr="00D46F43">
        <w:rPr>
          <w:rStyle w:val="Strong"/>
          <w:rFonts w:ascii="Verdana" w:hAnsi="Verdana" w:cstheme="minorHAnsi"/>
          <w:b w:val="0"/>
          <w:sz w:val="20"/>
          <w:szCs w:val="20"/>
        </w:rPr>
        <w:t xml:space="preserve"> in USD with floating interest corresponds to the carrying amount.</w:t>
      </w:r>
    </w:p>
    <w:p w:rsidR="006B7F33" w:rsidRDefault="006B7F33" w:rsidP="00BD2C69">
      <w:pPr>
        <w:spacing w:after="0"/>
        <w:jc w:val="both"/>
        <w:rPr>
          <w:rStyle w:val="Strong"/>
          <w:rFonts w:ascii="Verdana" w:hAnsi="Verdana" w:cstheme="minorHAnsi"/>
          <w:b w:val="0"/>
          <w:sz w:val="20"/>
          <w:szCs w:val="20"/>
        </w:rPr>
      </w:pPr>
    </w:p>
    <w:p w:rsidR="006B7F33" w:rsidRDefault="006B7F33" w:rsidP="00BD2C69">
      <w:pPr>
        <w:spacing w:after="0"/>
        <w:jc w:val="both"/>
        <w:rPr>
          <w:rFonts w:ascii="Verdana" w:hAnsi="Verdana"/>
          <w:sz w:val="20"/>
          <w:szCs w:val="20"/>
        </w:rPr>
      </w:pPr>
      <w:r w:rsidRPr="000E4F3B">
        <w:rPr>
          <w:rFonts w:ascii="Verdana" w:hAnsi="Verdana"/>
          <w:sz w:val="20"/>
          <w:szCs w:val="20"/>
        </w:rPr>
        <w:t>As part of the restructuring in December 2013, finance loans (and swap) amounting to USD</w:t>
      </w:r>
      <w:r w:rsidR="00D862E9">
        <w:rPr>
          <w:rFonts w:ascii="Verdana" w:hAnsi="Verdana"/>
          <w:sz w:val="20"/>
          <w:szCs w:val="20"/>
        </w:rPr>
        <w:t xml:space="preserve"> </w:t>
      </w:r>
      <w:r w:rsidRPr="000E4F3B">
        <w:rPr>
          <w:rFonts w:ascii="Verdana" w:hAnsi="Verdana"/>
          <w:sz w:val="20"/>
          <w:szCs w:val="20"/>
        </w:rPr>
        <w:t>72.1 million were converted into new shares.  The remaining loan of USD</w:t>
      </w:r>
      <w:r w:rsidR="001035E3">
        <w:rPr>
          <w:rFonts w:ascii="Verdana" w:hAnsi="Verdana"/>
          <w:sz w:val="20"/>
          <w:szCs w:val="20"/>
        </w:rPr>
        <w:t xml:space="preserve"> </w:t>
      </w:r>
      <w:r w:rsidRPr="000E4F3B">
        <w:rPr>
          <w:rFonts w:ascii="Verdana" w:hAnsi="Verdana"/>
          <w:sz w:val="20"/>
          <w:szCs w:val="20"/>
        </w:rPr>
        <w:t>100</w:t>
      </w:r>
      <w:r w:rsidR="001035E3">
        <w:rPr>
          <w:rFonts w:ascii="Verdana" w:hAnsi="Verdana"/>
          <w:sz w:val="20"/>
          <w:szCs w:val="20"/>
        </w:rPr>
        <w:t>.0</w:t>
      </w:r>
      <w:r w:rsidRPr="000E4F3B">
        <w:rPr>
          <w:rFonts w:ascii="Verdana" w:hAnsi="Verdana"/>
          <w:sz w:val="20"/>
          <w:szCs w:val="20"/>
        </w:rPr>
        <w:t xml:space="preserve"> million was re-financed into a new 7-year facility with no principal amortisation in Year 2014, subject to a cash sweep mechanism and new covenants.  As part of the re-financed 7-year facility, a new </w:t>
      </w:r>
      <w:r>
        <w:rPr>
          <w:rFonts w:ascii="Verdana" w:hAnsi="Verdana"/>
          <w:sz w:val="20"/>
          <w:szCs w:val="20"/>
        </w:rPr>
        <w:t>364-day USD</w:t>
      </w:r>
      <w:r w:rsidR="00D862E9">
        <w:rPr>
          <w:rFonts w:ascii="Verdana" w:hAnsi="Verdana"/>
          <w:sz w:val="20"/>
          <w:szCs w:val="20"/>
        </w:rPr>
        <w:t xml:space="preserve"> </w:t>
      </w:r>
      <w:r w:rsidRPr="000E4F3B">
        <w:rPr>
          <w:rFonts w:ascii="Verdana" w:hAnsi="Verdana"/>
          <w:sz w:val="20"/>
          <w:szCs w:val="20"/>
        </w:rPr>
        <w:t>4</w:t>
      </w:r>
      <w:r w:rsidR="00D862E9">
        <w:rPr>
          <w:rFonts w:ascii="Verdana" w:hAnsi="Verdana"/>
          <w:sz w:val="20"/>
          <w:szCs w:val="20"/>
        </w:rPr>
        <w:t>.0</w:t>
      </w:r>
      <w:r w:rsidRPr="000E4F3B">
        <w:rPr>
          <w:rFonts w:ascii="Verdana" w:hAnsi="Verdana"/>
          <w:sz w:val="20"/>
          <w:szCs w:val="20"/>
        </w:rPr>
        <w:t xml:space="preserve"> million working capital line was also available to the</w:t>
      </w:r>
      <w:r>
        <w:rPr>
          <w:rFonts w:ascii="Verdana" w:hAnsi="Verdana"/>
          <w:sz w:val="20"/>
          <w:szCs w:val="20"/>
        </w:rPr>
        <w:t xml:space="preserve"> Group. </w:t>
      </w:r>
      <w:r w:rsidRPr="000E4F3B">
        <w:rPr>
          <w:rFonts w:ascii="Verdana" w:hAnsi="Verdana"/>
          <w:sz w:val="20"/>
          <w:szCs w:val="20"/>
        </w:rPr>
        <w:t>This working capital facility was fully drawn on 19 December 2013.</w:t>
      </w:r>
      <w:r>
        <w:rPr>
          <w:rFonts w:ascii="Verdana" w:hAnsi="Verdana"/>
          <w:sz w:val="20"/>
          <w:szCs w:val="20"/>
        </w:rPr>
        <w:t xml:space="preserve"> </w:t>
      </w:r>
    </w:p>
    <w:p w:rsidR="00D46F43" w:rsidRPr="00D46F43" w:rsidRDefault="00D46F43" w:rsidP="00BD2C69">
      <w:pPr>
        <w:spacing w:after="0"/>
        <w:jc w:val="both"/>
        <w:rPr>
          <w:rStyle w:val="Strong"/>
          <w:rFonts w:ascii="Verdana" w:hAnsi="Verdana" w:cstheme="minorHAnsi"/>
          <w:b w:val="0"/>
          <w:sz w:val="20"/>
          <w:szCs w:val="20"/>
        </w:rPr>
      </w:pPr>
    </w:p>
    <w:p w:rsidR="003C4ABD" w:rsidRPr="00D46F43" w:rsidRDefault="006B7F33" w:rsidP="00BD2C69">
      <w:pPr>
        <w:spacing w:after="0"/>
        <w:jc w:val="both"/>
        <w:rPr>
          <w:rStyle w:val="Strong"/>
          <w:rFonts w:ascii="Verdana" w:hAnsi="Verdana" w:cstheme="minorHAnsi"/>
          <w:b w:val="0"/>
          <w:sz w:val="20"/>
          <w:szCs w:val="20"/>
        </w:rPr>
      </w:pPr>
      <w:r>
        <w:rPr>
          <w:rStyle w:val="Strong"/>
          <w:rFonts w:ascii="Verdana" w:hAnsi="Verdana" w:cstheme="minorHAnsi"/>
          <w:b w:val="0"/>
          <w:sz w:val="20"/>
          <w:szCs w:val="20"/>
        </w:rPr>
        <w:t xml:space="preserve">The financing agreements, signed as part of the restructuring, stipulate </w:t>
      </w:r>
      <w:r w:rsidR="003C4ABD" w:rsidRPr="00D46F43">
        <w:rPr>
          <w:rStyle w:val="Strong"/>
          <w:rFonts w:ascii="Verdana" w:hAnsi="Verdana" w:cstheme="minorHAnsi"/>
          <w:b w:val="0"/>
          <w:sz w:val="20"/>
          <w:szCs w:val="20"/>
        </w:rPr>
        <w:t xml:space="preserve">minimum requirements (financial covenants) for </w:t>
      </w:r>
      <w:r w:rsidR="00D46F43">
        <w:rPr>
          <w:rFonts w:ascii="Verdana" w:hAnsi="Verdana"/>
          <w:sz w:val="20"/>
          <w:szCs w:val="20"/>
        </w:rPr>
        <w:t>m</w:t>
      </w:r>
      <w:r w:rsidR="00D46F43" w:rsidRPr="00D66BD5">
        <w:rPr>
          <w:rFonts w:ascii="Verdana" w:hAnsi="Verdana"/>
          <w:sz w:val="20"/>
          <w:szCs w:val="20"/>
        </w:rPr>
        <w:t>inimum liquidity</w:t>
      </w:r>
      <w:r w:rsidR="003C4ABD" w:rsidRPr="00D46F43">
        <w:rPr>
          <w:rStyle w:val="Strong"/>
          <w:rFonts w:ascii="Verdana" w:hAnsi="Verdana" w:cstheme="minorHAnsi"/>
          <w:b w:val="0"/>
          <w:sz w:val="20"/>
          <w:szCs w:val="20"/>
        </w:rPr>
        <w:t xml:space="preserve">, </w:t>
      </w:r>
      <w:r w:rsidR="00D46F43">
        <w:rPr>
          <w:rStyle w:val="Strong"/>
          <w:rFonts w:ascii="Verdana" w:hAnsi="Verdana" w:cstheme="minorHAnsi"/>
          <w:b w:val="0"/>
          <w:sz w:val="20"/>
          <w:szCs w:val="20"/>
        </w:rPr>
        <w:t xml:space="preserve">minimum value clause and </w:t>
      </w:r>
      <w:r w:rsidR="003C4ABD" w:rsidRPr="00D46F43">
        <w:rPr>
          <w:rStyle w:val="Strong"/>
          <w:rFonts w:ascii="Verdana" w:hAnsi="Verdana" w:cstheme="minorHAnsi"/>
          <w:b w:val="0"/>
          <w:sz w:val="20"/>
          <w:szCs w:val="20"/>
        </w:rPr>
        <w:t>equity ratio</w:t>
      </w:r>
      <w:r w:rsidR="00D46F43">
        <w:rPr>
          <w:rFonts w:ascii="Verdana" w:hAnsi="Verdana"/>
          <w:sz w:val="20"/>
          <w:szCs w:val="20"/>
        </w:rPr>
        <w:t>,</w:t>
      </w:r>
      <w:r w:rsidR="003C4ABD" w:rsidRPr="00D46F43">
        <w:rPr>
          <w:rStyle w:val="Strong"/>
          <w:rFonts w:ascii="Verdana" w:hAnsi="Verdana" w:cstheme="minorHAnsi"/>
          <w:b w:val="0"/>
          <w:sz w:val="20"/>
          <w:szCs w:val="20"/>
        </w:rPr>
        <w:t xml:space="preserve"> among other things. Further, the Company has agreed to a cash sweep mechanism whereby excess cash can be used to repay its loans.</w:t>
      </w:r>
      <w:r>
        <w:rPr>
          <w:rStyle w:val="Strong"/>
          <w:rFonts w:ascii="Verdana" w:hAnsi="Verdana" w:cstheme="minorHAnsi"/>
          <w:b w:val="0"/>
          <w:sz w:val="20"/>
          <w:szCs w:val="20"/>
        </w:rPr>
        <w:t xml:space="preserve"> P</w:t>
      </w:r>
      <w:r w:rsidR="00D46F43">
        <w:rPr>
          <w:rStyle w:val="Strong"/>
          <w:rFonts w:ascii="Verdana" w:hAnsi="Verdana" w:cstheme="minorHAnsi"/>
          <w:b w:val="0"/>
          <w:sz w:val="20"/>
          <w:szCs w:val="20"/>
        </w:rPr>
        <w:t>lease refer to Note 0 for details of the financing agreements signed as part of the restructuring.</w:t>
      </w:r>
    </w:p>
    <w:p w:rsidR="003C4ABD" w:rsidRDefault="003C4ABD" w:rsidP="00F611A4">
      <w:pPr>
        <w:spacing w:after="0"/>
        <w:jc w:val="both"/>
        <w:rPr>
          <w:rStyle w:val="Strong"/>
          <w:rFonts w:ascii="Verdana" w:hAnsi="Verdana" w:cstheme="minorHAnsi"/>
          <w:b w:val="0"/>
          <w:sz w:val="20"/>
          <w:szCs w:val="20"/>
        </w:rPr>
      </w:pPr>
    </w:p>
    <w:p w:rsidR="003C4ABD" w:rsidRDefault="003C4ABD" w:rsidP="00F611A4">
      <w:pPr>
        <w:spacing w:after="0"/>
        <w:jc w:val="both"/>
        <w:rPr>
          <w:rStyle w:val="Strong"/>
          <w:rFonts w:ascii="Verdana" w:hAnsi="Verdana" w:cstheme="minorHAnsi"/>
          <w:b w:val="0"/>
          <w:sz w:val="20"/>
          <w:szCs w:val="20"/>
        </w:rPr>
      </w:pPr>
      <w:r w:rsidRPr="00D46F43">
        <w:rPr>
          <w:rStyle w:val="Strong"/>
          <w:rFonts w:ascii="Verdana" w:hAnsi="Verdana" w:cstheme="minorHAnsi"/>
          <w:b w:val="0"/>
          <w:sz w:val="20"/>
          <w:szCs w:val="20"/>
        </w:rPr>
        <w:t>In Year 2012, the Company has been granted a 3-month extension of the moratorium period until 30 June 2013.</w:t>
      </w:r>
      <w:r w:rsidR="00D46F43">
        <w:rPr>
          <w:rStyle w:val="Strong"/>
          <w:rFonts w:ascii="Verdana" w:hAnsi="Verdana" w:cstheme="minorHAnsi"/>
          <w:b w:val="0"/>
          <w:sz w:val="20"/>
          <w:szCs w:val="20"/>
        </w:rPr>
        <w:t xml:space="preserve"> This </w:t>
      </w:r>
      <w:r w:rsidR="00D46F43" w:rsidRPr="00D46F43">
        <w:rPr>
          <w:rStyle w:val="Strong"/>
          <w:rFonts w:ascii="Verdana" w:hAnsi="Verdana" w:cstheme="minorHAnsi"/>
          <w:b w:val="0"/>
          <w:sz w:val="20"/>
          <w:szCs w:val="20"/>
        </w:rPr>
        <w:t>moratorium</w:t>
      </w:r>
      <w:r w:rsidR="00D46F43">
        <w:rPr>
          <w:rStyle w:val="Strong"/>
          <w:rFonts w:ascii="Verdana" w:hAnsi="Verdana" w:cstheme="minorHAnsi"/>
          <w:b w:val="0"/>
          <w:sz w:val="20"/>
          <w:szCs w:val="20"/>
        </w:rPr>
        <w:t xml:space="preserve"> was subsequently extended till 31 December 2013 (after the Annual Report 2012 was signed).</w:t>
      </w:r>
    </w:p>
    <w:p w:rsidR="00D46F43" w:rsidRPr="00D46F43" w:rsidRDefault="00D46F43" w:rsidP="00F611A4">
      <w:pPr>
        <w:tabs>
          <w:tab w:val="left" w:pos="2664"/>
        </w:tabs>
        <w:spacing w:after="0"/>
        <w:jc w:val="both"/>
        <w:rPr>
          <w:rStyle w:val="Strong"/>
          <w:rFonts w:ascii="Verdana" w:hAnsi="Verdana" w:cstheme="minorHAnsi"/>
          <w:b w:val="0"/>
          <w:sz w:val="20"/>
          <w:szCs w:val="20"/>
        </w:rPr>
      </w:pPr>
    </w:p>
    <w:p w:rsidR="003C4ABD" w:rsidRPr="00D46F43" w:rsidRDefault="00D46F43" w:rsidP="00F611A4">
      <w:pPr>
        <w:spacing w:after="0"/>
        <w:jc w:val="both"/>
        <w:rPr>
          <w:rStyle w:val="Strong"/>
          <w:rFonts w:ascii="Verdana" w:hAnsi="Verdana" w:cstheme="minorHAnsi"/>
          <w:b w:val="0"/>
          <w:sz w:val="20"/>
          <w:szCs w:val="20"/>
        </w:rPr>
      </w:pPr>
      <w:r>
        <w:rPr>
          <w:rStyle w:val="Strong"/>
          <w:rFonts w:ascii="Verdana" w:hAnsi="Verdana" w:cstheme="minorHAnsi"/>
          <w:b w:val="0"/>
          <w:sz w:val="20"/>
          <w:szCs w:val="20"/>
        </w:rPr>
        <w:t>As at 31 December 2012, the finance loans was</w:t>
      </w:r>
      <w:r w:rsidR="003C4ABD" w:rsidRPr="00D46F43">
        <w:rPr>
          <w:rStyle w:val="Strong"/>
          <w:rFonts w:ascii="Verdana" w:hAnsi="Verdana" w:cstheme="minorHAnsi"/>
          <w:b w:val="0"/>
          <w:sz w:val="20"/>
          <w:szCs w:val="20"/>
        </w:rPr>
        <w:t xml:space="preserve"> clas</w:t>
      </w:r>
      <w:r>
        <w:rPr>
          <w:rStyle w:val="Strong"/>
          <w:rFonts w:ascii="Verdana" w:hAnsi="Verdana" w:cstheme="minorHAnsi"/>
          <w:b w:val="0"/>
          <w:sz w:val="20"/>
          <w:szCs w:val="20"/>
        </w:rPr>
        <w:t>sified as 'Due within one year' in event that the</w:t>
      </w:r>
      <w:r w:rsidRPr="00D46F43">
        <w:rPr>
          <w:rStyle w:val="Strong"/>
          <w:rFonts w:ascii="Verdana" w:hAnsi="Verdana" w:cstheme="minorHAnsi"/>
          <w:b w:val="0"/>
          <w:sz w:val="20"/>
          <w:szCs w:val="20"/>
        </w:rPr>
        <w:t xml:space="preserve"> Company </w:t>
      </w:r>
      <w:r>
        <w:rPr>
          <w:rStyle w:val="Strong"/>
          <w:rFonts w:ascii="Verdana" w:hAnsi="Verdana" w:cstheme="minorHAnsi"/>
          <w:b w:val="0"/>
          <w:sz w:val="20"/>
          <w:szCs w:val="20"/>
        </w:rPr>
        <w:t>would n</w:t>
      </w:r>
      <w:r w:rsidRPr="00D46F43">
        <w:rPr>
          <w:rStyle w:val="Strong"/>
          <w:rFonts w:ascii="Verdana" w:hAnsi="Verdana" w:cstheme="minorHAnsi"/>
          <w:b w:val="0"/>
          <w:sz w:val="20"/>
          <w:szCs w:val="20"/>
        </w:rPr>
        <w:t>ot be able to hono</w:t>
      </w:r>
      <w:r>
        <w:rPr>
          <w:rStyle w:val="Strong"/>
          <w:rFonts w:ascii="Verdana" w:hAnsi="Verdana" w:cstheme="minorHAnsi"/>
          <w:b w:val="0"/>
          <w:sz w:val="20"/>
          <w:szCs w:val="20"/>
        </w:rPr>
        <w:t>u</w:t>
      </w:r>
      <w:r w:rsidRPr="00D46F43">
        <w:rPr>
          <w:rStyle w:val="Strong"/>
          <w:rFonts w:ascii="Verdana" w:hAnsi="Verdana" w:cstheme="minorHAnsi"/>
          <w:b w:val="0"/>
          <w:sz w:val="20"/>
          <w:szCs w:val="20"/>
        </w:rPr>
        <w:t>r</w:t>
      </w:r>
      <w:r>
        <w:rPr>
          <w:rStyle w:val="Strong"/>
          <w:rFonts w:ascii="Verdana" w:hAnsi="Verdana" w:cstheme="minorHAnsi"/>
          <w:b w:val="0"/>
          <w:sz w:val="20"/>
          <w:szCs w:val="20"/>
        </w:rPr>
        <w:t xml:space="preserve"> it</w:t>
      </w:r>
      <w:r w:rsidR="004141BB">
        <w:rPr>
          <w:rStyle w:val="Strong"/>
          <w:rFonts w:ascii="Verdana" w:hAnsi="Verdana" w:cstheme="minorHAnsi"/>
          <w:b w:val="0"/>
          <w:sz w:val="20"/>
          <w:szCs w:val="20"/>
        </w:rPr>
        <w:t>s commitments towards the lending</w:t>
      </w:r>
      <w:r>
        <w:rPr>
          <w:rStyle w:val="Strong"/>
          <w:rFonts w:ascii="Verdana" w:hAnsi="Verdana" w:cstheme="minorHAnsi"/>
          <w:b w:val="0"/>
          <w:sz w:val="20"/>
          <w:szCs w:val="20"/>
        </w:rPr>
        <w:t xml:space="preserve"> </w:t>
      </w:r>
      <w:r w:rsidRPr="00D46F43">
        <w:rPr>
          <w:rStyle w:val="Strong"/>
          <w:rFonts w:ascii="Verdana" w:hAnsi="Verdana" w:cstheme="minorHAnsi"/>
          <w:b w:val="0"/>
          <w:sz w:val="20"/>
          <w:szCs w:val="20"/>
        </w:rPr>
        <w:t>banks</w:t>
      </w:r>
      <w:r w:rsidR="00EA6509">
        <w:rPr>
          <w:rStyle w:val="Strong"/>
          <w:rFonts w:ascii="Verdana" w:hAnsi="Verdana" w:cstheme="minorHAnsi"/>
          <w:b w:val="0"/>
          <w:sz w:val="20"/>
          <w:szCs w:val="20"/>
        </w:rPr>
        <w:t xml:space="preserve"> </w:t>
      </w:r>
      <w:r>
        <w:rPr>
          <w:rStyle w:val="Strong"/>
          <w:rFonts w:ascii="Verdana" w:hAnsi="Verdana" w:cstheme="minorHAnsi"/>
          <w:b w:val="0"/>
          <w:sz w:val="20"/>
          <w:szCs w:val="20"/>
        </w:rPr>
        <w:t xml:space="preserve">if the </w:t>
      </w:r>
      <w:r w:rsidRPr="00D46F43">
        <w:rPr>
          <w:rStyle w:val="Strong"/>
          <w:rFonts w:ascii="Verdana" w:hAnsi="Verdana" w:cstheme="minorHAnsi"/>
          <w:b w:val="0"/>
          <w:sz w:val="20"/>
          <w:szCs w:val="20"/>
        </w:rPr>
        <w:t>moratorium granted is not later extended beyond 30 June 2013</w:t>
      </w:r>
      <w:r>
        <w:rPr>
          <w:rStyle w:val="Strong"/>
          <w:rFonts w:ascii="Verdana" w:hAnsi="Verdana" w:cstheme="minorHAnsi"/>
          <w:b w:val="0"/>
          <w:sz w:val="20"/>
          <w:szCs w:val="20"/>
        </w:rPr>
        <w:t>.</w:t>
      </w:r>
    </w:p>
    <w:p w:rsidR="006B7F33" w:rsidRDefault="006B7F33" w:rsidP="006B7F33">
      <w:pPr>
        <w:jc w:val="both"/>
        <w:rPr>
          <w:rStyle w:val="Strong"/>
          <w:rFonts w:ascii="Verdana" w:hAnsi="Verdana" w:cstheme="minorHAnsi"/>
          <w:color w:val="95B3D7" w:themeColor="accent1" w:themeTint="99"/>
          <w:sz w:val="20"/>
          <w:szCs w:val="20"/>
        </w:rPr>
      </w:pPr>
    </w:p>
    <w:p w:rsidR="00D9341F" w:rsidRDefault="00D9341F" w:rsidP="006B7F33">
      <w:pPr>
        <w:jc w:val="both"/>
        <w:rPr>
          <w:rStyle w:val="Strong"/>
          <w:rFonts w:ascii="Verdana" w:hAnsi="Verdana" w:cstheme="minorHAnsi"/>
          <w:color w:val="95B3D7" w:themeColor="accent1" w:themeTint="99"/>
          <w:sz w:val="20"/>
          <w:szCs w:val="20"/>
        </w:rPr>
      </w:pPr>
    </w:p>
    <w:p w:rsidR="006B7F33" w:rsidRDefault="006B7F33" w:rsidP="006B7F33">
      <w:pPr>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lastRenderedPageBreak/>
        <w:t xml:space="preserve">20. </w:t>
      </w:r>
      <w:r>
        <w:rPr>
          <w:rStyle w:val="Strong"/>
          <w:rFonts w:ascii="Verdana" w:hAnsi="Verdana" w:cstheme="minorHAnsi"/>
          <w:color w:val="95B3D7" w:themeColor="accent1" w:themeTint="99"/>
          <w:sz w:val="20"/>
          <w:szCs w:val="20"/>
        </w:rPr>
        <w:tab/>
        <w:t>Trade payables</w:t>
      </w:r>
    </w:p>
    <w:p w:rsidR="006B7F33" w:rsidRDefault="006B7F33" w:rsidP="006B7F33">
      <w:pPr>
        <w:jc w:val="both"/>
        <w:rPr>
          <w:rStyle w:val="Strong"/>
          <w:rFonts w:ascii="Verdana" w:hAnsi="Verdana" w:cstheme="minorHAnsi"/>
          <w:color w:val="95B3D7" w:themeColor="accent1" w:themeTint="99"/>
          <w:sz w:val="20"/>
          <w:szCs w:val="20"/>
        </w:rPr>
      </w:pPr>
      <w:r w:rsidRPr="006B7F33">
        <w:rPr>
          <w:rStyle w:val="Strong"/>
          <w:b w:val="0"/>
          <w:bCs w:val="0"/>
          <w:noProof/>
          <w:lang w:val="da-DK" w:eastAsia="da-DK"/>
        </w:rPr>
        <w:drawing>
          <wp:inline distT="0" distB="0" distL="0" distR="0" wp14:anchorId="78708C25" wp14:editId="10BD501F">
            <wp:extent cx="6511925" cy="751400"/>
            <wp:effectExtent l="0" t="0" r="317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511925" cy="751400"/>
                    </a:xfrm>
                    <a:prstGeom prst="rect">
                      <a:avLst/>
                    </a:prstGeom>
                    <a:noFill/>
                    <a:ln>
                      <a:noFill/>
                    </a:ln>
                  </pic:spPr>
                </pic:pic>
              </a:graphicData>
            </a:graphic>
          </wp:inline>
        </w:drawing>
      </w:r>
    </w:p>
    <w:p w:rsidR="006B7F33" w:rsidRDefault="006B7F33" w:rsidP="00B258E9">
      <w:pPr>
        <w:spacing w:after="0"/>
        <w:jc w:val="both"/>
        <w:rPr>
          <w:rStyle w:val="Strong"/>
          <w:rFonts w:ascii="Verdana" w:hAnsi="Verdana" w:cstheme="minorHAnsi"/>
          <w:b w:val="0"/>
          <w:sz w:val="20"/>
          <w:szCs w:val="20"/>
        </w:rPr>
      </w:pPr>
      <w:r w:rsidRPr="006B7F33">
        <w:rPr>
          <w:rStyle w:val="Strong"/>
          <w:rFonts w:ascii="Verdana" w:hAnsi="Verdana" w:cstheme="minorHAnsi"/>
          <w:b w:val="0"/>
          <w:sz w:val="20"/>
          <w:szCs w:val="20"/>
        </w:rPr>
        <w:t>The carrying amount corresponds to the fair value of the liabilities.</w:t>
      </w:r>
    </w:p>
    <w:p w:rsidR="00B258E9" w:rsidRDefault="00B258E9" w:rsidP="00B258E9">
      <w:pPr>
        <w:spacing w:after="0"/>
        <w:jc w:val="both"/>
        <w:rPr>
          <w:rStyle w:val="Strong"/>
          <w:rFonts w:ascii="Verdana" w:hAnsi="Verdana" w:cstheme="minorHAnsi"/>
          <w:b w:val="0"/>
          <w:sz w:val="20"/>
          <w:szCs w:val="20"/>
        </w:rPr>
      </w:pPr>
    </w:p>
    <w:p w:rsidR="00B258E9" w:rsidRDefault="00B258E9" w:rsidP="00B258E9">
      <w:pPr>
        <w:spacing w:after="0"/>
        <w:jc w:val="both"/>
        <w:rPr>
          <w:rStyle w:val="Strong"/>
          <w:rFonts w:ascii="Verdana" w:hAnsi="Verdana" w:cstheme="minorHAnsi"/>
          <w:b w:val="0"/>
          <w:sz w:val="20"/>
          <w:szCs w:val="20"/>
        </w:rPr>
      </w:pPr>
    </w:p>
    <w:p w:rsidR="006B7F33" w:rsidRDefault="0063744F" w:rsidP="00B258E9">
      <w:pPr>
        <w:spacing w:after="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21. </w:t>
      </w:r>
      <w:r>
        <w:rPr>
          <w:rStyle w:val="Strong"/>
          <w:rFonts w:ascii="Verdana" w:hAnsi="Verdana" w:cstheme="minorHAnsi"/>
          <w:color w:val="95B3D7" w:themeColor="accent1" w:themeTint="99"/>
          <w:sz w:val="20"/>
          <w:szCs w:val="20"/>
        </w:rPr>
        <w:tab/>
        <w:t>Provisions</w:t>
      </w:r>
    </w:p>
    <w:p w:rsidR="006B7F33" w:rsidRDefault="00EA6509" w:rsidP="006B7F33">
      <w:pPr>
        <w:jc w:val="both"/>
        <w:rPr>
          <w:rStyle w:val="Strong"/>
          <w:rFonts w:ascii="Verdana" w:hAnsi="Verdana" w:cstheme="minorHAnsi"/>
          <w:b w:val="0"/>
          <w:sz w:val="20"/>
          <w:szCs w:val="20"/>
        </w:rPr>
      </w:pPr>
      <w:r w:rsidRPr="00EA6509">
        <w:rPr>
          <w:rStyle w:val="Strong"/>
          <w:b w:val="0"/>
          <w:bCs w:val="0"/>
          <w:noProof/>
          <w:lang w:val="da-DK" w:eastAsia="da-DK"/>
        </w:rPr>
        <w:drawing>
          <wp:inline distT="0" distB="0" distL="0" distR="0" wp14:anchorId="49B75F4C" wp14:editId="1ACFBCA1">
            <wp:extent cx="6300470" cy="3367634"/>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00470" cy="3367634"/>
                    </a:xfrm>
                    <a:prstGeom prst="rect">
                      <a:avLst/>
                    </a:prstGeom>
                    <a:noFill/>
                    <a:ln>
                      <a:noFill/>
                    </a:ln>
                  </pic:spPr>
                </pic:pic>
              </a:graphicData>
            </a:graphic>
          </wp:inline>
        </w:drawing>
      </w:r>
    </w:p>
    <w:p w:rsidR="00D9341F" w:rsidRDefault="00D9341F">
      <w:pPr>
        <w:rPr>
          <w:rStyle w:val="Strong"/>
          <w:rFonts w:ascii="Verdana" w:hAnsi="Verdana" w:cstheme="minorHAnsi"/>
          <w:color w:val="95B3D7" w:themeColor="accent1" w:themeTint="99"/>
          <w:sz w:val="20"/>
          <w:szCs w:val="20"/>
        </w:rPr>
      </w:pPr>
    </w:p>
    <w:p w:rsidR="006B7F33" w:rsidRDefault="006B7F33">
      <w:pPr>
        <w:rPr>
          <w:noProof/>
        </w:rPr>
      </w:pPr>
      <w:r>
        <w:rPr>
          <w:rStyle w:val="Strong"/>
          <w:rFonts w:ascii="Verdana" w:hAnsi="Verdana" w:cstheme="minorHAnsi"/>
          <w:color w:val="95B3D7" w:themeColor="accent1" w:themeTint="99"/>
          <w:sz w:val="20"/>
          <w:szCs w:val="20"/>
        </w:rPr>
        <w:t xml:space="preserve">22. </w:t>
      </w:r>
      <w:r>
        <w:rPr>
          <w:rStyle w:val="Strong"/>
          <w:rFonts w:ascii="Verdana" w:hAnsi="Verdana" w:cstheme="minorHAnsi"/>
          <w:color w:val="95B3D7" w:themeColor="accent1" w:themeTint="99"/>
          <w:sz w:val="20"/>
          <w:szCs w:val="20"/>
        </w:rPr>
        <w:tab/>
        <w:t>Other liabilities</w:t>
      </w:r>
    </w:p>
    <w:p w:rsidR="00396EDF" w:rsidRDefault="00396EDF">
      <w:pPr>
        <w:rPr>
          <w:rStyle w:val="Strong"/>
          <w:rFonts w:ascii="Verdana" w:hAnsi="Verdana" w:cstheme="minorHAnsi"/>
          <w:color w:val="95B3D7" w:themeColor="accent1" w:themeTint="99"/>
          <w:sz w:val="20"/>
          <w:szCs w:val="20"/>
        </w:rPr>
      </w:pPr>
      <w:r w:rsidRPr="00396EDF">
        <w:rPr>
          <w:rStyle w:val="Strong"/>
          <w:b w:val="0"/>
          <w:bCs w:val="0"/>
          <w:noProof/>
          <w:lang w:val="da-DK" w:eastAsia="da-DK"/>
        </w:rPr>
        <w:drawing>
          <wp:inline distT="0" distB="0" distL="0" distR="0" wp14:anchorId="2E84340C" wp14:editId="20CD75BF">
            <wp:extent cx="6300470" cy="853876"/>
            <wp:effectExtent l="0" t="0" r="508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00470" cy="853876"/>
                    </a:xfrm>
                    <a:prstGeom prst="rect">
                      <a:avLst/>
                    </a:prstGeom>
                    <a:noFill/>
                    <a:ln>
                      <a:noFill/>
                    </a:ln>
                  </pic:spPr>
                </pic:pic>
              </a:graphicData>
            </a:graphic>
          </wp:inline>
        </w:drawing>
      </w:r>
    </w:p>
    <w:p w:rsidR="006B7F33" w:rsidRDefault="006B7F33" w:rsidP="00396EDF">
      <w:pPr>
        <w:spacing w:after="0"/>
        <w:jc w:val="both"/>
        <w:rPr>
          <w:rFonts w:ascii="Verdana" w:hAnsi="Verdana"/>
          <w:sz w:val="20"/>
          <w:szCs w:val="20"/>
        </w:rPr>
      </w:pPr>
      <w:r w:rsidRPr="006B7F33">
        <w:rPr>
          <w:rFonts w:ascii="Verdana" w:hAnsi="Verdana"/>
          <w:sz w:val="20"/>
          <w:szCs w:val="20"/>
        </w:rPr>
        <w:t>The carrying amount of payables relating to tax, social security contributions, holiday pay, etc. Financial instruments and expenses payable correspond to the fair value of the liabilities.</w:t>
      </w:r>
    </w:p>
    <w:p w:rsidR="00396EDF" w:rsidRDefault="00396ED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D9341F" w:rsidRDefault="00D9341F" w:rsidP="00396EDF">
      <w:pPr>
        <w:spacing w:after="0"/>
        <w:jc w:val="both"/>
        <w:rPr>
          <w:rStyle w:val="Strong"/>
          <w:rFonts w:ascii="Verdana" w:hAnsi="Verdana" w:cstheme="minorHAnsi"/>
          <w:color w:val="95B3D7" w:themeColor="accent1" w:themeTint="99"/>
          <w:sz w:val="20"/>
          <w:szCs w:val="20"/>
        </w:rPr>
      </w:pPr>
    </w:p>
    <w:p w:rsidR="00396EDF" w:rsidRDefault="00396EDF" w:rsidP="00396EDF">
      <w:pPr>
        <w:spacing w:after="0"/>
        <w:jc w:val="both"/>
        <w:rPr>
          <w:rStyle w:val="Strong"/>
          <w:rFonts w:ascii="Verdana" w:hAnsi="Verdana" w:cstheme="minorHAnsi"/>
          <w:color w:val="95B3D7" w:themeColor="accent1" w:themeTint="99"/>
          <w:sz w:val="20"/>
          <w:szCs w:val="20"/>
        </w:rPr>
      </w:pPr>
    </w:p>
    <w:p w:rsidR="006B7F33" w:rsidRDefault="006B7F33" w:rsidP="00BD2C69">
      <w:pPr>
        <w:spacing w:after="0"/>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lastRenderedPageBreak/>
        <w:t xml:space="preserve">23. </w:t>
      </w:r>
      <w:r>
        <w:rPr>
          <w:rStyle w:val="Strong"/>
          <w:rFonts w:ascii="Verdana" w:hAnsi="Verdana" w:cstheme="minorHAnsi"/>
          <w:color w:val="95B3D7" w:themeColor="accent1" w:themeTint="99"/>
          <w:sz w:val="20"/>
          <w:szCs w:val="20"/>
        </w:rPr>
        <w:tab/>
        <w:t>Treasury and share capital</w:t>
      </w:r>
    </w:p>
    <w:p w:rsidR="006B7F33" w:rsidRDefault="003A46FF" w:rsidP="00BD2C69">
      <w:pPr>
        <w:spacing w:after="0"/>
        <w:jc w:val="both"/>
        <w:rPr>
          <w:rFonts w:ascii="Verdana" w:hAnsi="Verdana"/>
          <w:sz w:val="20"/>
          <w:szCs w:val="20"/>
        </w:rPr>
      </w:pPr>
      <w:r w:rsidRPr="003A46FF">
        <w:rPr>
          <w:rFonts w:ascii="Verdana" w:hAnsi="Verdana"/>
          <w:sz w:val="20"/>
          <w:szCs w:val="20"/>
        </w:rPr>
        <w:t xml:space="preserve"> </w:t>
      </w:r>
      <w:r w:rsidRPr="003A46FF">
        <w:rPr>
          <w:noProof/>
          <w:lang w:val="da-DK" w:eastAsia="da-DK"/>
        </w:rPr>
        <w:drawing>
          <wp:inline distT="0" distB="0" distL="0" distR="0" wp14:anchorId="55D03F3D" wp14:editId="3116FB9A">
            <wp:extent cx="6300470" cy="2297498"/>
            <wp:effectExtent l="0" t="0" r="508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00470" cy="2297498"/>
                    </a:xfrm>
                    <a:prstGeom prst="rect">
                      <a:avLst/>
                    </a:prstGeom>
                    <a:noFill/>
                    <a:ln>
                      <a:noFill/>
                    </a:ln>
                  </pic:spPr>
                </pic:pic>
              </a:graphicData>
            </a:graphic>
          </wp:inline>
        </w:drawing>
      </w:r>
    </w:p>
    <w:p w:rsidR="006B7F33" w:rsidRPr="006B7F33" w:rsidRDefault="006B7F33" w:rsidP="006B7F33">
      <w:pPr>
        <w:spacing w:after="0" w:line="240" w:lineRule="auto"/>
        <w:jc w:val="both"/>
        <w:rPr>
          <w:rFonts w:ascii="Verdana" w:hAnsi="Verdana"/>
          <w:b/>
          <w:sz w:val="20"/>
          <w:szCs w:val="20"/>
        </w:rPr>
      </w:pPr>
      <w:r w:rsidRPr="006B7F33">
        <w:rPr>
          <w:rFonts w:ascii="Verdana" w:hAnsi="Verdana"/>
          <w:b/>
          <w:sz w:val="20"/>
          <w:szCs w:val="20"/>
        </w:rPr>
        <w:t>Share capital as at 31 December 2013</w:t>
      </w:r>
    </w:p>
    <w:p w:rsidR="006B7F33" w:rsidRDefault="006B7F33" w:rsidP="006B7F33">
      <w:pPr>
        <w:spacing w:after="0" w:line="240" w:lineRule="auto"/>
        <w:jc w:val="both"/>
        <w:rPr>
          <w:rFonts w:ascii="Verdana" w:hAnsi="Verdana"/>
          <w:sz w:val="20"/>
          <w:szCs w:val="20"/>
        </w:rPr>
      </w:pPr>
    </w:p>
    <w:p w:rsidR="006B7F33" w:rsidRDefault="006B7F33" w:rsidP="006B7F33">
      <w:pPr>
        <w:spacing w:after="0" w:line="240" w:lineRule="auto"/>
        <w:jc w:val="both"/>
        <w:rPr>
          <w:rFonts w:ascii="Verdana" w:hAnsi="Verdana"/>
          <w:sz w:val="20"/>
          <w:szCs w:val="20"/>
        </w:rPr>
      </w:pPr>
      <w:r w:rsidRPr="006B7F33">
        <w:rPr>
          <w:rFonts w:ascii="Verdana" w:hAnsi="Verdana"/>
          <w:sz w:val="20"/>
          <w:szCs w:val="20"/>
        </w:rPr>
        <w:t>The share capital as at 31 December 2013 consiste</w:t>
      </w:r>
      <w:r w:rsidR="004F01A1">
        <w:rPr>
          <w:rFonts w:ascii="Verdana" w:hAnsi="Verdana"/>
          <w:sz w:val="20"/>
          <w:szCs w:val="20"/>
        </w:rPr>
        <w:t>d of 406,158,403 shares of DKK 0.1</w:t>
      </w:r>
      <w:r w:rsidRPr="006B7F33">
        <w:rPr>
          <w:rFonts w:ascii="Verdana" w:hAnsi="Verdana"/>
          <w:sz w:val="20"/>
          <w:szCs w:val="20"/>
        </w:rPr>
        <w:t xml:space="preserve"> (2012: 38,946,697 shares of DKK 1</w:t>
      </w:r>
      <w:r w:rsidR="004F01A1">
        <w:rPr>
          <w:rFonts w:ascii="Verdana" w:hAnsi="Verdana"/>
          <w:sz w:val="20"/>
          <w:szCs w:val="20"/>
        </w:rPr>
        <w:t>.0</w:t>
      </w:r>
      <w:r w:rsidRPr="006B7F33">
        <w:rPr>
          <w:rFonts w:ascii="Verdana" w:hAnsi="Verdana"/>
          <w:sz w:val="20"/>
          <w:szCs w:val="20"/>
        </w:rPr>
        <w:t>). The shares have not been divided into classes, and there are no special rights attached to the shares.</w:t>
      </w:r>
    </w:p>
    <w:p w:rsidR="00ED2604" w:rsidRDefault="00ED2604" w:rsidP="006B7F33">
      <w:pPr>
        <w:jc w:val="both"/>
        <w:rPr>
          <w:rFonts w:ascii="Verdana" w:hAnsi="Verdana"/>
          <w:b/>
          <w:sz w:val="20"/>
          <w:szCs w:val="20"/>
        </w:rPr>
      </w:pPr>
    </w:p>
    <w:p w:rsidR="006B7F33" w:rsidRPr="006B7F33" w:rsidRDefault="006B7F33" w:rsidP="006B7F33">
      <w:pPr>
        <w:jc w:val="both"/>
        <w:rPr>
          <w:rFonts w:ascii="Verdana" w:hAnsi="Verdana"/>
          <w:b/>
          <w:sz w:val="20"/>
          <w:szCs w:val="20"/>
        </w:rPr>
      </w:pPr>
      <w:r w:rsidRPr="006B7F33">
        <w:rPr>
          <w:rFonts w:ascii="Verdana" w:hAnsi="Verdana"/>
          <w:b/>
          <w:sz w:val="20"/>
          <w:szCs w:val="20"/>
        </w:rPr>
        <w:t>Transactions on the share capital have been the following:</w:t>
      </w:r>
    </w:p>
    <w:p w:rsidR="006B7F33" w:rsidRDefault="00B30F15" w:rsidP="006B7F33">
      <w:pPr>
        <w:jc w:val="both"/>
        <w:rPr>
          <w:rFonts w:ascii="Verdana" w:hAnsi="Verdana"/>
          <w:sz w:val="20"/>
          <w:szCs w:val="20"/>
        </w:rPr>
      </w:pPr>
      <w:r w:rsidRPr="00B30F15">
        <w:rPr>
          <w:noProof/>
          <w:lang w:val="da-DK" w:eastAsia="da-DK"/>
        </w:rPr>
        <w:drawing>
          <wp:inline distT="0" distB="0" distL="0" distR="0" wp14:anchorId="59BF00C3" wp14:editId="0F8D0D10">
            <wp:extent cx="6300470" cy="1546326"/>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00470" cy="1546326"/>
                    </a:xfrm>
                    <a:prstGeom prst="rect">
                      <a:avLst/>
                    </a:prstGeom>
                    <a:noFill/>
                    <a:ln>
                      <a:noFill/>
                    </a:ln>
                  </pic:spPr>
                </pic:pic>
              </a:graphicData>
            </a:graphic>
          </wp:inline>
        </w:drawing>
      </w:r>
    </w:p>
    <w:p w:rsidR="003A46FF" w:rsidRDefault="003A46FF" w:rsidP="006B7F33">
      <w:pPr>
        <w:spacing w:after="0" w:line="240" w:lineRule="auto"/>
        <w:jc w:val="both"/>
        <w:rPr>
          <w:rFonts w:ascii="Verdana" w:hAnsi="Verdana"/>
          <w:sz w:val="20"/>
          <w:szCs w:val="20"/>
        </w:rPr>
      </w:pPr>
    </w:p>
    <w:p w:rsidR="006B7F33" w:rsidRDefault="006B7F33" w:rsidP="00BD2C69">
      <w:pPr>
        <w:spacing w:after="0"/>
        <w:jc w:val="both"/>
        <w:rPr>
          <w:rFonts w:ascii="Verdana" w:hAnsi="Verdana"/>
          <w:sz w:val="20"/>
          <w:szCs w:val="20"/>
        </w:rPr>
      </w:pPr>
      <w:r w:rsidRPr="006B7F33">
        <w:rPr>
          <w:rFonts w:ascii="Verdana" w:hAnsi="Verdana"/>
          <w:sz w:val="20"/>
          <w:szCs w:val="20"/>
        </w:rPr>
        <w:t>As a condition t</w:t>
      </w:r>
      <w:r>
        <w:rPr>
          <w:rFonts w:ascii="Verdana" w:hAnsi="Verdana"/>
          <w:sz w:val="20"/>
          <w:szCs w:val="20"/>
        </w:rPr>
        <w:t xml:space="preserve">o the restructuring, the </w:t>
      </w:r>
      <w:r w:rsidRPr="006B7F33">
        <w:rPr>
          <w:rFonts w:ascii="Verdana" w:hAnsi="Verdana"/>
          <w:sz w:val="20"/>
          <w:szCs w:val="20"/>
        </w:rPr>
        <w:t>Company approved a capital reduction exercise by a reduction in the nominal value of the shares by 1:10.  This was approved by the general assembly before the issuance of new shares was completed (see below).  This reduction in the nominal value is presented as a reduction in the share capital and a corresponding increase in '</w:t>
      </w:r>
      <w:r w:rsidR="003A46FF">
        <w:rPr>
          <w:rFonts w:ascii="Verdana" w:hAnsi="Verdana"/>
          <w:sz w:val="20"/>
          <w:szCs w:val="20"/>
        </w:rPr>
        <w:t>Retained earnings</w:t>
      </w:r>
      <w:r w:rsidRPr="006B7F33">
        <w:rPr>
          <w:rFonts w:ascii="Verdana" w:hAnsi="Verdana"/>
          <w:sz w:val="20"/>
          <w:szCs w:val="20"/>
        </w:rPr>
        <w:t>'.</w:t>
      </w:r>
    </w:p>
    <w:p w:rsidR="003A46FF" w:rsidRDefault="003A46FF" w:rsidP="00BD2C69">
      <w:pPr>
        <w:spacing w:after="0"/>
        <w:jc w:val="both"/>
        <w:rPr>
          <w:rFonts w:ascii="Verdana" w:hAnsi="Verdana"/>
          <w:sz w:val="20"/>
          <w:szCs w:val="20"/>
        </w:rPr>
      </w:pPr>
    </w:p>
    <w:p w:rsidR="006B7F33" w:rsidRPr="00BD2C69" w:rsidRDefault="006B7F33" w:rsidP="00BD2C69">
      <w:pPr>
        <w:spacing w:after="0"/>
        <w:jc w:val="both"/>
        <w:rPr>
          <w:rFonts w:ascii="Verdana" w:hAnsi="Verdana"/>
          <w:sz w:val="20"/>
          <w:szCs w:val="20"/>
        </w:rPr>
      </w:pPr>
      <w:r w:rsidRPr="00BD2C69">
        <w:rPr>
          <w:rFonts w:ascii="Verdana" w:hAnsi="Verdana"/>
          <w:sz w:val="20"/>
          <w:szCs w:val="20"/>
        </w:rPr>
        <w:t>As part of the restructuring, the number of new shares issued for debt conversion was 350,520,274. In addition, Nordic Maritime also exercised its option and contributed an additional USD</w:t>
      </w:r>
      <w:r w:rsidR="004F01A1" w:rsidRPr="00BD2C69">
        <w:rPr>
          <w:rFonts w:ascii="Verdana" w:hAnsi="Verdana"/>
          <w:sz w:val="20"/>
          <w:szCs w:val="20"/>
        </w:rPr>
        <w:t xml:space="preserve"> </w:t>
      </w:r>
      <w:r w:rsidRPr="00BD2C69">
        <w:rPr>
          <w:rFonts w:ascii="Verdana" w:hAnsi="Verdana"/>
          <w:sz w:val="20"/>
          <w:szCs w:val="20"/>
        </w:rPr>
        <w:t>2</w:t>
      </w:r>
      <w:r w:rsidR="004F01A1" w:rsidRPr="00BD2C69">
        <w:rPr>
          <w:rFonts w:ascii="Verdana" w:hAnsi="Verdana"/>
          <w:sz w:val="20"/>
          <w:szCs w:val="20"/>
        </w:rPr>
        <w:t>.0</w:t>
      </w:r>
      <w:r w:rsidRPr="00BD2C69">
        <w:rPr>
          <w:rFonts w:ascii="Verdana" w:hAnsi="Verdana"/>
          <w:sz w:val="20"/>
          <w:szCs w:val="20"/>
        </w:rPr>
        <w:t xml:space="preserve"> million in cash for additional new shares (16,691,432 shares) in the Company. Hence, a total of 367,211,706 new shares were issued in December 2013.</w:t>
      </w:r>
    </w:p>
    <w:p w:rsidR="006B7F33" w:rsidRPr="00BD2C69" w:rsidRDefault="006B7F33" w:rsidP="006B7F33">
      <w:pPr>
        <w:spacing w:after="0" w:line="240" w:lineRule="auto"/>
        <w:jc w:val="both"/>
        <w:rPr>
          <w:rFonts w:ascii="Verdana" w:hAnsi="Verdana"/>
          <w:sz w:val="20"/>
          <w:szCs w:val="20"/>
        </w:rPr>
      </w:pPr>
    </w:p>
    <w:p w:rsidR="00D9341F" w:rsidRDefault="00D9341F" w:rsidP="006B7F33">
      <w:pPr>
        <w:spacing w:after="0" w:line="240" w:lineRule="auto"/>
        <w:jc w:val="both"/>
        <w:rPr>
          <w:rFonts w:ascii="Verdana" w:hAnsi="Verdana"/>
          <w:sz w:val="20"/>
          <w:szCs w:val="20"/>
        </w:rPr>
      </w:pPr>
    </w:p>
    <w:p w:rsidR="00D9341F" w:rsidRDefault="00D9341F" w:rsidP="006B7F33">
      <w:pPr>
        <w:spacing w:after="0" w:line="240" w:lineRule="auto"/>
        <w:jc w:val="both"/>
        <w:rPr>
          <w:rFonts w:ascii="Verdana" w:hAnsi="Verdana"/>
          <w:sz w:val="20"/>
          <w:szCs w:val="20"/>
        </w:rPr>
      </w:pPr>
    </w:p>
    <w:p w:rsidR="00D9341F" w:rsidRDefault="00D9341F" w:rsidP="006B7F33">
      <w:pPr>
        <w:spacing w:after="0" w:line="240" w:lineRule="auto"/>
        <w:jc w:val="both"/>
        <w:rPr>
          <w:rFonts w:ascii="Verdana" w:hAnsi="Verdana"/>
          <w:sz w:val="20"/>
          <w:szCs w:val="20"/>
        </w:rPr>
      </w:pPr>
    </w:p>
    <w:p w:rsidR="00D9341F" w:rsidRDefault="00D9341F" w:rsidP="006B7F33">
      <w:pPr>
        <w:spacing w:after="0" w:line="240" w:lineRule="auto"/>
        <w:jc w:val="both"/>
        <w:rPr>
          <w:rFonts w:ascii="Verdana" w:hAnsi="Verdana"/>
          <w:sz w:val="20"/>
          <w:szCs w:val="20"/>
        </w:rPr>
      </w:pPr>
    </w:p>
    <w:p w:rsidR="00910EBA" w:rsidRDefault="00910EBA" w:rsidP="006B7F33">
      <w:pPr>
        <w:spacing w:after="0" w:line="240" w:lineRule="auto"/>
        <w:jc w:val="both"/>
        <w:rPr>
          <w:rFonts w:ascii="Verdana" w:hAnsi="Verdana"/>
          <w:sz w:val="20"/>
          <w:szCs w:val="20"/>
        </w:rPr>
      </w:pPr>
    </w:p>
    <w:p w:rsidR="00910EBA" w:rsidRDefault="00910EBA" w:rsidP="006B7F33">
      <w:pPr>
        <w:spacing w:after="0" w:line="240" w:lineRule="auto"/>
        <w:jc w:val="both"/>
        <w:rPr>
          <w:rFonts w:ascii="Verdana" w:hAnsi="Verdana"/>
          <w:sz w:val="20"/>
          <w:szCs w:val="20"/>
        </w:rPr>
      </w:pPr>
    </w:p>
    <w:p w:rsidR="00D9341F" w:rsidRDefault="00D9341F" w:rsidP="006B7F33">
      <w:pPr>
        <w:spacing w:after="0" w:line="240" w:lineRule="auto"/>
        <w:jc w:val="both"/>
        <w:rPr>
          <w:rFonts w:ascii="Verdana" w:hAnsi="Verdana"/>
          <w:sz w:val="20"/>
          <w:szCs w:val="20"/>
        </w:rPr>
      </w:pPr>
    </w:p>
    <w:p w:rsidR="00D9341F" w:rsidRDefault="00D9341F" w:rsidP="006B7F33">
      <w:pPr>
        <w:spacing w:after="0" w:line="240" w:lineRule="auto"/>
        <w:jc w:val="both"/>
        <w:rPr>
          <w:rFonts w:ascii="Verdana" w:hAnsi="Verdana"/>
          <w:sz w:val="20"/>
          <w:szCs w:val="20"/>
        </w:rPr>
      </w:pPr>
    </w:p>
    <w:p w:rsidR="00D9341F" w:rsidRDefault="00D9341F" w:rsidP="006B7F33">
      <w:pPr>
        <w:spacing w:after="0" w:line="240" w:lineRule="auto"/>
        <w:jc w:val="both"/>
        <w:rPr>
          <w:rFonts w:ascii="Verdana" w:hAnsi="Verdana"/>
          <w:sz w:val="20"/>
          <w:szCs w:val="20"/>
        </w:rPr>
      </w:pPr>
    </w:p>
    <w:p w:rsidR="000D4BFA" w:rsidRDefault="000D4BFA" w:rsidP="006B7F33">
      <w:pPr>
        <w:spacing w:after="0" w:line="240" w:lineRule="auto"/>
        <w:jc w:val="both"/>
        <w:rPr>
          <w:rFonts w:ascii="Verdana" w:hAnsi="Verdana"/>
          <w:sz w:val="20"/>
          <w:szCs w:val="20"/>
        </w:rPr>
      </w:pPr>
    </w:p>
    <w:p w:rsidR="006B7F33" w:rsidRDefault="006B7F33" w:rsidP="006B7F33">
      <w:pPr>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 xml:space="preserve">24. </w:t>
      </w:r>
      <w:r>
        <w:rPr>
          <w:rStyle w:val="Strong"/>
          <w:rFonts w:ascii="Verdana" w:hAnsi="Verdana" w:cstheme="minorHAnsi"/>
          <w:color w:val="95B3D7" w:themeColor="accent1" w:themeTint="99"/>
          <w:sz w:val="20"/>
          <w:szCs w:val="20"/>
        </w:rPr>
        <w:tab/>
        <w:t>Related party transactions</w:t>
      </w:r>
    </w:p>
    <w:p w:rsidR="00D9341F" w:rsidRDefault="00647BD1" w:rsidP="006B7F33">
      <w:pPr>
        <w:jc w:val="both"/>
        <w:rPr>
          <w:rStyle w:val="Strong"/>
          <w:rFonts w:ascii="Verdana" w:hAnsi="Verdana" w:cstheme="minorHAnsi"/>
          <w:color w:val="95B3D7" w:themeColor="accent1" w:themeTint="99"/>
          <w:sz w:val="20"/>
          <w:szCs w:val="20"/>
        </w:rPr>
      </w:pPr>
      <w:r w:rsidRPr="00647BD1">
        <w:rPr>
          <w:rStyle w:val="Strong"/>
          <w:b w:val="0"/>
          <w:bCs w:val="0"/>
          <w:noProof/>
          <w:lang w:val="da-DK" w:eastAsia="da-DK"/>
        </w:rPr>
        <w:drawing>
          <wp:inline distT="0" distB="0" distL="0" distR="0" wp14:anchorId="313AD895" wp14:editId="3993A7B1">
            <wp:extent cx="6300470" cy="4353789"/>
            <wp:effectExtent l="0" t="0" r="508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00470" cy="4353789"/>
                    </a:xfrm>
                    <a:prstGeom prst="rect">
                      <a:avLst/>
                    </a:prstGeom>
                    <a:noFill/>
                    <a:ln>
                      <a:noFill/>
                    </a:ln>
                  </pic:spPr>
                </pic:pic>
              </a:graphicData>
            </a:graphic>
          </wp:inline>
        </w:drawing>
      </w:r>
    </w:p>
    <w:p w:rsidR="006B7F33" w:rsidRDefault="00647BD1" w:rsidP="006B7F33">
      <w:pPr>
        <w:jc w:val="both"/>
        <w:rPr>
          <w:rFonts w:ascii="Verdana" w:hAnsi="Verdana"/>
          <w:sz w:val="20"/>
          <w:szCs w:val="20"/>
        </w:rPr>
      </w:pPr>
      <w:r w:rsidRPr="00647BD1">
        <w:rPr>
          <w:noProof/>
          <w:lang w:val="da-DK" w:eastAsia="da-DK"/>
        </w:rPr>
        <w:drawing>
          <wp:inline distT="0" distB="0" distL="0" distR="0" wp14:anchorId="06FC6E1C" wp14:editId="1D18EFA8">
            <wp:extent cx="6300470" cy="3403469"/>
            <wp:effectExtent l="0" t="0" r="508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00470" cy="3403469"/>
                    </a:xfrm>
                    <a:prstGeom prst="rect">
                      <a:avLst/>
                    </a:prstGeom>
                    <a:noFill/>
                    <a:ln>
                      <a:noFill/>
                    </a:ln>
                  </pic:spPr>
                </pic:pic>
              </a:graphicData>
            </a:graphic>
          </wp:inline>
        </w:drawing>
      </w:r>
    </w:p>
    <w:p w:rsidR="006B7F33" w:rsidRPr="006B7F33" w:rsidRDefault="006B7F33" w:rsidP="006B7F33">
      <w:pPr>
        <w:jc w:val="both"/>
        <w:rPr>
          <w:rFonts w:ascii="Verdana" w:hAnsi="Verdana"/>
          <w:sz w:val="20"/>
          <w:szCs w:val="20"/>
        </w:rPr>
      </w:pPr>
    </w:p>
    <w:p w:rsidR="00DA7634" w:rsidRDefault="00DA7634" w:rsidP="00F53F95">
      <w:pPr>
        <w:tabs>
          <w:tab w:val="left" w:pos="4050"/>
        </w:tabs>
      </w:pPr>
    </w:p>
    <w:p w:rsidR="00DA7634" w:rsidRDefault="00DA7634" w:rsidP="00015D2C">
      <w:pPr>
        <w:tabs>
          <w:tab w:val="left" w:pos="4050"/>
        </w:tabs>
      </w:pPr>
    </w:p>
    <w:p w:rsidR="00372B5C" w:rsidRDefault="000D4BFA" w:rsidP="00BD2C69">
      <w:pPr>
        <w:spacing w:after="0"/>
        <w:rPr>
          <w:rFonts w:ascii="Verdana" w:hAnsi="Verdana"/>
          <w:sz w:val="20"/>
          <w:szCs w:val="20"/>
        </w:rPr>
      </w:pPr>
      <w:r w:rsidRPr="000D4BFA">
        <w:rPr>
          <w:rFonts w:ascii="Verdana" w:hAnsi="Verdana"/>
          <w:sz w:val="20"/>
          <w:szCs w:val="20"/>
        </w:rPr>
        <w:t>Guarantees provided to subsidiaries can be found in Note 2</w:t>
      </w:r>
      <w:r w:rsidR="00947345">
        <w:rPr>
          <w:rFonts w:ascii="Verdana" w:hAnsi="Verdana"/>
          <w:sz w:val="20"/>
          <w:szCs w:val="20"/>
        </w:rPr>
        <w:t>6</w:t>
      </w:r>
      <w:r w:rsidRPr="000D4BFA">
        <w:rPr>
          <w:rFonts w:ascii="Verdana" w:hAnsi="Verdana"/>
          <w:sz w:val="20"/>
          <w:szCs w:val="20"/>
        </w:rPr>
        <w:t>.</w:t>
      </w:r>
    </w:p>
    <w:p w:rsidR="000D4BFA" w:rsidRPr="000D4BFA" w:rsidRDefault="000D4BFA" w:rsidP="00BD2C69">
      <w:pPr>
        <w:spacing w:after="0"/>
        <w:jc w:val="both"/>
        <w:rPr>
          <w:rFonts w:ascii="Verdana" w:hAnsi="Verdana"/>
          <w:sz w:val="20"/>
          <w:szCs w:val="20"/>
        </w:rPr>
      </w:pPr>
    </w:p>
    <w:p w:rsidR="000D4BFA" w:rsidRDefault="000D4BFA" w:rsidP="00BD2C69">
      <w:pPr>
        <w:spacing w:after="0"/>
        <w:jc w:val="both"/>
        <w:rPr>
          <w:rFonts w:ascii="Verdana" w:hAnsi="Verdana"/>
          <w:sz w:val="20"/>
          <w:szCs w:val="20"/>
        </w:rPr>
      </w:pPr>
      <w:r w:rsidRPr="000D4BFA">
        <w:rPr>
          <w:rFonts w:ascii="Verdana" w:hAnsi="Verdana"/>
          <w:sz w:val="20"/>
          <w:szCs w:val="20"/>
        </w:rPr>
        <w:t>Apart from Group inter-company transactions, mentioned above, remuneration of the Board of Directors, Executive Board of the Company and managerial staff, Note 4, Financial income and Financial expenses (Note 9 and 10) and the warrant programmes (Note 25), there are no significant transactions with related parties.</w:t>
      </w:r>
    </w:p>
    <w:p w:rsidR="000D4BFA" w:rsidRPr="000D4BFA" w:rsidRDefault="000D4BFA" w:rsidP="00BD2C69">
      <w:pPr>
        <w:spacing w:after="0"/>
        <w:jc w:val="both"/>
        <w:rPr>
          <w:rFonts w:ascii="Verdana" w:hAnsi="Verdana"/>
          <w:sz w:val="20"/>
          <w:szCs w:val="20"/>
        </w:rPr>
      </w:pPr>
    </w:p>
    <w:p w:rsidR="000D4BFA" w:rsidRPr="000D4BFA" w:rsidRDefault="000D4BFA" w:rsidP="00BD2C69">
      <w:pPr>
        <w:spacing w:after="0"/>
        <w:jc w:val="both"/>
        <w:rPr>
          <w:rFonts w:ascii="Verdana" w:hAnsi="Verdana"/>
          <w:sz w:val="20"/>
          <w:szCs w:val="20"/>
        </w:rPr>
      </w:pPr>
      <w:r w:rsidRPr="000D4BFA">
        <w:rPr>
          <w:rFonts w:ascii="Verdana" w:hAnsi="Verdana"/>
          <w:sz w:val="20"/>
          <w:szCs w:val="20"/>
        </w:rPr>
        <w:t>Transactions with subsidiaries are eliminated in the consolidated accounts, in accordance with the Accounting Policies in Note 2.</w:t>
      </w:r>
    </w:p>
    <w:p w:rsidR="00372B5C" w:rsidRDefault="00372B5C"/>
    <w:p w:rsidR="00947345" w:rsidRDefault="00647BD1" w:rsidP="00BD2C69">
      <w:pPr>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2</w:t>
      </w:r>
      <w:r w:rsidR="00947345">
        <w:rPr>
          <w:rStyle w:val="Strong"/>
          <w:rFonts w:ascii="Verdana" w:hAnsi="Verdana" w:cstheme="minorHAnsi"/>
          <w:color w:val="95B3D7" w:themeColor="accent1" w:themeTint="99"/>
          <w:sz w:val="20"/>
          <w:szCs w:val="20"/>
        </w:rPr>
        <w:t xml:space="preserve">5. </w:t>
      </w:r>
      <w:r w:rsidR="00947345">
        <w:rPr>
          <w:rStyle w:val="Strong"/>
          <w:rFonts w:ascii="Verdana" w:hAnsi="Verdana" w:cstheme="minorHAnsi"/>
          <w:color w:val="95B3D7" w:themeColor="accent1" w:themeTint="99"/>
          <w:sz w:val="20"/>
          <w:szCs w:val="20"/>
        </w:rPr>
        <w:tab/>
        <w:t xml:space="preserve">Incentive </w:t>
      </w:r>
      <w:r w:rsidR="007C041C">
        <w:rPr>
          <w:rStyle w:val="Strong"/>
          <w:rFonts w:ascii="Verdana" w:hAnsi="Verdana" w:cstheme="minorHAnsi"/>
          <w:color w:val="95B3D7" w:themeColor="accent1" w:themeTint="99"/>
          <w:sz w:val="20"/>
          <w:szCs w:val="20"/>
        </w:rPr>
        <w:t>p</w:t>
      </w:r>
      <w:r w:rsidR="00947345">
        <w:rPr>
          <w:rStyle w:val="Strong"/>
          <w:rFonts w:ascii="Verdana" w:hAnsi="Verdana" w:cstheme="minorHAnsi"/>
          <w:color w:val="95B3D7" w:themeColor="accent1" w:themeTint="99"/>
          <w:sz w:val="20"/>
          <w:szCs w:val="20"/>
        </w:rPr>
        <w:t>lans</w:t>
      </w:r>
    </w:p>
    <w:p w:rsidR="00947345" w:rsidRPr="00947345" w:rsidRDefault="00947345" w:rsidP="00BD2C69">
      <w:pPr>
        <w:spacing w:after="0"/>
        <w:jc w:val="both"/>
        <w:rPr>
          <w:rStyle w:val="Strong"/>
          <w:rFonts w:ascii="Verdana" w:hAnsi="Verdana" w:cstheme="minorHAnsi"/>
          <w:b w:val="0"/>
          <w:sz w:val="20"/>
          <w:szCs w:val="20"/>
        </w:rPr>
      </w:pPr>
      <w:r w:rsidRPr="00947345">
        <w:rPr>
          <w:rStyle w:val="Strong"/>
          <w:rFonts w:ascii="Verdana" w:hAnsi="Verdana" w:cstheme="minorHAnsi"/>
          <w:b w:val="0"/>
          <w:sz w:val="20"/>
          <w:szCs w:val="20"/>
        </w:rPr>
        <w:t>In June 2010 and May 2011</w:t>
      </w:r>
      <w:r w:rsidR="00ED2604">
        <w:rPr>
          <w:rStyle w:val="Strong"/>
          <w:rFonts w:ascii="Verdana" w:hAnsi="Verdana" w:cstheme="minorHAnsi"/>
          <w:b w:val="0"/>
          <w:sz w:val="20"/>
          <w:szCs w:val="20"/>
        </w:rPr>
        <w:t>,</w:t>
      </w:r>
      <w:r w:rsidRPr="00947345">
        <w:rPr>
          <w:rStyle w:val="Strong"/>
          <w:rFonts w:ascii="Verdana" w:hAnsi="Verdana" w:cstheme="minorHAnsi"/>
          <w:b w:val="0"/>
          <w:sz w:val="20"/>
          <w:szCs w:val="20"/>
        </w:rPr>
        <w:t xml:space="preserve"> the Board of Directors granted warrants to the Company´s management and employees. Please refer to below table.</w:t>
      </w:r>
    </w:p>
    <w:p w:rsidR="00947345" w:rsidRPr="00947345" w:rsidRDefault="00947345" w:rsidP="00BD2C69">
      <w:pPr>
        <w:spacing w:after="0"/>
        <w:jc w:val="both"/>
        <w:rPr>
          <w:rStyle w:val="Strong"/>
          <w:rFonts w:ascii="Verdana" w:hAnsi="Verdana" w:cstheme="minorHAnsi"/>
          <w:b w:val="0"/>
          <w:sz w:val="20"/>
          <w:szCs w:val="20"/>
        </w:rPr>
      </w:pPr>
    </w:p>
    <w:p w:rsidR="00947345" w:rsidRPr="00947345" w:rsidRDefault="00947345" w:rsidP="00BD2C69">
      <w:pPr>
        <w:spacing w:after="0"/>
        <w:jc w:val="both"/>
        <w:rPr>
          <w:rStyle w:val="Strong"/>
          <w:rFonts w:ascii="Verdana" w:hAnsi="Verdana" w:cstheme="minorHAnsi"/>
          <w:b w:val="0"/>
          <w:sz w:val="20"/>
          <w:szCs w:val="20"/>
        </w:rPr>
      </w:pPr>
      <w:r w:rsidRPr="00947345">
        <w:rPr>
          <w:rStyle w:val="Strong"/>
          <w:rFonts w:ascii="Verdana" w:hAnsi="Verdana" w:cstheme="minorHAnsi"/>
          <w:b w:val="0"/>
          <w:sz w:val="20"/>
          <w:szCs w:val="20"/>
        </w:rPr>
        <w:t>The warrants were granted in accordance with the authorisations given to the Board of Directors by the shareholders. The Board of Directors has fixed the terms of and the size of the grants of warrants, taking into account authorisations from the shareholders, the Company’s guidelines for incentive pay, to the extent applicable, an assessment of expectations of the recipient´s work efforts and contribution to the Company´s growth, as well as the need to motivate and retain the recipient. In addition, the warrants granted are subject to the provisions of the Danish Public Companies Act regarding termination of employees prior to their exercise of warrants in the case of recipients who are subject to the act.</w:t>
      </w:r>
    </w:p>
    <w:p w:rsidR="00947345" w:rsidRPr="00947345" w:rsidRDefault="00947345" w:rsidP="00BD2C69">
      <w:pPr>
        <w:spacing w:after="0"/>
        <w:jc w:val="both"/>
        <w:rPr>
          <w:rStyle w:val="Strong"/>
          <w:rFonts w:ascii="Verdana" w:hAnsi="Verdana" w:cstheme="minorHAnsi"/>
          <w:b w:val="0"/>
          <w:sz w:val="20"/>
          <w:szCs w:val="20"/>
        </w:rPr>
      </w:pPr>
    </w:p>
    <w:p w:rsidR="00947345" w:rsidRDefault="00947345" w:rsidP="00BD2C69">
      <w:pPr>
        <w:spacing w:after="0"/>
        <w:jc w:val="both"/>
        <w:rPr>
          <w:rStyle w:val="Strong"/>
          <w:rFonts w:ascii="Verdana" w:hAnsi="Verdana" w:cstheme="minorHAnsi"/>
          <w:b w:val="0"/>
          <w:sz w:val="20"/>
          <w:szCs w:val="20"/>
        </w:rPr>
      </w:pPr>
      <w:r w:rsidRPr="00947345">
        <w:rPr>
          <w:rStyle w:val="Strong"/>
          <w:rFonts w:ascii="Verdana" w:hAnsi="Verdana" w:cstheme="minorHAnsi"/>
          <w:b w:val="0"/>
          <w:sz w:val="20"/>
          <w:szCs w:val="20"/>
        </w:rPr>
        <w:t>The terms of the warrant plans are included in the Articles of Association.</w:t>
      </w:r>
      <w:r w:rsidR="00EA34D4">
        <w:rPr>
          <w:rStyle w:val="Strong"/>
          <w:rFonts w:ascii="Verdana" w:hAnsi="Verdana" w:cstheme="minorHAnsi"/>
          <w:b w:val="0"/>
          <w:sz w:val="20"/>
          <w:szCs w:val="20"/>
        </w:rPr>
        <w:t xml:space="preserve"> Each warrant gives the holder right to subscribe 1 share of DKK 0.1 if exercised.</w:t>
      </w:r>
    </w:p>
    <w:p w:rsidR="00947345" w:rsidRPr="00947345" w:rsidRDefault="00947345" w:rsidP="00BD2C69">
      <w:pPr>
        <w:spacing w:after="0"/>
        <w:jc w:val="both"/>
        <w:rPr>
          <w:rStyle w:val="Strong"/>
          <w:rFonts w:ascii="Verdana" w:hAnsi="Verdana" w:cstheme="minorHAnsi"/>
          <w:b w:val="0"/>
          <w:sz w:val="20"/>
          <w:szCs w:val="20"/>
        </w:rPr>
      </w:pPr>
    </w:p>
    <w:p w:rsidR="00947345" w:rsidRDefault="00947345" w:rsidP="00BD2C69">
      <w:pPr>
        <w:spacing w:after="0"/>
        <w:jc w:val="both"/>
        <w:rPr>
          <w:rStyle w:val="Strong"/>
          <w:rFonts w:ascii="Verdana" w:hAnsi="Verdana" w:cstheme="minorHAnsi"/>
          <w:b w:val="0"/>
          <w:sz w:val="20"/>
          <w:szCs w:val="20"/>
        </w:rPr>
      </w:pPr>
      <w:r w:rsidRPr="00947345">
        <w:rPr>
          <w:rStyle w:val="Strong"/>
          <w:rFonts w:ascii="Verdana" w:hAnsi="Verdana" w:cstheme="minorHAnsi"/>
          <w:b w:val="0"/>
          <w:sz w:val="20"/>
          <w:szCs w:val="20"/>
        </w:rPr>
        <w:t>The exercise price and exercise periods for the individual grants are stated in the table below.</w:t>
      </w:r>
    </w:p>
    <w:p w:rsidR="00947345" w:rsidRPr="00947345" w:rsidRDefault="00947345" w:rsidP="00947345">
      <w:pPr>
        <w:spacing w:after="0" w:line="240" w:lineRule="auto"/>
        <w:jc w:val="both"/>
        <w:rPr>
          <w:rStyle w:val="Strong"/>
          <w:rFonts w:ascii="Verdana" w:hAnsi="Verdana" w:cstheme="minorHAnsi"/>
          <w:b w:val="0"/>
          <w:sz w:val="20"/>
          <w:szCs w:val="20"/>
        </w:rPr>
      </w:pPr>
    </w:p>
    <w:p w:rsidR="00947345" w:rsidRDefault="00396EDF" w:rsidP="00947345">
      <w:pPr>
        <w:jc w:val="both"/>
        <w:rPr>
          <w:rStyle w:val="Strong"/>
          <w:rFonts w:ascii="Verdana" w:hAnsi="Verdana" w:cstheme="minorHAnsi"/>
          <w:color w:val="95B3D7" w:themeColor="accent1" w:themeTint="99"/>
          <w:sz w:val="20"/>
          <w:szCs w:val="20"/>
        </w:rPr>
      </w:pPr>
      <w:r w:rsidRPr="00396EDF">
        <w:rPr>
          <w:rStyle w:val="Strong"/>
          <w:b w:val="0"/>
          <w:bCs w:val="0"/>
          <w:noProof/>
          <w:lang w:val="da-DK" w:eastAsia="da-DK"/>
        </w:rPr>
        <w:drawing>
          <wp:inline distT="0" distB="0" distL="0" distR="0" wp14:anchorId="15ACDBFC" wp14:editId="23800ABF">
            <wp:extent cx="6300470" cy="3688711"/>
            <wp:effectExtent l="0" t="0" r="508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00470" cy="3688711"/>
                    </a:xfrm>
                    <a:prstGeom prst="rect">
                      <a:avLst/>
                    </a:prstGeom>
                    <a:noFill/>
                    <a:ln>
                      <a:noFill/>
                    </a:ln>
                  </pic:spPr>
                </pic:pic>
              </a:graphicData>
            </a:graphic>
          </wp:inline>
        </w:drawing>
      </w:r>
    </w:p>
    <w:p w:rsidR="00947345" w:rsidRDefault="00947345" w:rsidP="00947345">
      <w:pPr>
        <w:jc w:val="both"/>
        <w:rPr>
          <w:rStyle w:val="Strong"/>
          <w:b w:val="0"/>
          <w:bCs w:val="0"/>
          <w:noProof/>
        </w:rPr>
      </w:pPr>
    </w:p>
    <w:p w:rsidR="00DF194F" w:rsidRDefault="007C041C" w:rsidP="00947345">
      <w:pPr>
        <w:jc w:val="both"/>
        <w:rPr>
          <w:rStyle w:val="Strong"/>
          <w:rFonts w:ascii="Verdana" w:hAnsi="Verdana" w:cstheme="minorHAnsi"/>
          <w:color w:val="95B3D7" w:themeColor="accent1" w:themeTint="99"/>
          <w:sz w:val="20"/>
          <w:szCs w:val="20"/>
        </w:rPr>
      </w:pPr>
      <w:r w:rsidRPr="007C041C">
        <w:rPr>
          <w:rStyle w:val="Strong"/>
          <w:b w:val="0"/>
          <w:bCs w:val="0"/>
          <w:noProof/>
          <w:lang w:val="da-DK" w:eastAsia="da-DK"/>
        </w:rPr>
        <w:drawing>
          <wp:inline distT="0" distB="0" distL="0" distR="0">
            <wp:extent cx="6300470" cy="3651156"/>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00470" cy="3651156"/>
                    </a:xfrm>
                    <a:prstGeom prst="rect">
                      <a:avLst/>
                    </a:prstGeom>
                    <a:noFill/>
                    <a:ln>
                      <a:noFill/>
                    </a:ln>
                  </pic:spPr>
                </pic:pic>
              </a:graphicData>
            </a:graphic>
          </wp:inline>
        </w:drawing>
      </w:r>
    </w:p>
    <w:p w:rsidR="000D4BFA" w:rsidRPr="00947345" w:rsidRDefault="00947345" w:rsidP="00BD2C69">
      <w:pPr>
        <w:spacing w:after="0"/>
        <w:jc w:val="both"/>
        <w:rPr>
          <w:rFonts w:ascii="Verdana" w:hAnsi="Verdana"/>
          <w:b/>
          <w:sz w:val="20"/>
          <w:szCs w:val="20"/>
        </w:rPr>
      </w:pPr>
      <w:r w:rsidRPr="00947345">
        <w:rPr>
          <w:rFonts w:ascii="Verdana" w:hAnsi="Verdana"/>
          <w:b/>
          <w:sz w:val="20"/>
          <w:szCs w:val="20"/>
        </w:rPr>
        <w:t>Vesting and exercise period</w:t>
      </w:r>
      <w:r>
        <w:rPr>
          <w:rFonts w:ascii="Verdana" w:hAnsi="Verdana"/>
          <w:b/>
          <w:sz w:val="20"/>
          <w:szCs w:val="20"/>
        </w:rPr>
        <w:t>s</w:t>
      </w:r>
    </w:p>
    <w:p w:rsidR="00947345" w:rsidRDefault="00947345" w:rsidP="00BD2C69">
      <w:pPr>
        <w:spacing w:after="0"/>
        <w:jc w:val="both"/>
        <w:rPr>
          <w:rFonts w:ascii="Verdana" w:hAnsi="Verdana"/>
          <w:sz w:val="20"/>
          <w:szCs w:val="20"/>
        </w:rPr>
      </w:pPr>
      <w:r w:rsidRPr="00947345">
        <w:rPr>
          <w:rFonts w:ascii="Verdana" w:hAnsi="Verdana"/>
          <w:sz w:val="20"/>
          <w:szCs w:val="20"/>
        </w:rPr>
        <w:t>Warrants granted in 2010 can be exercised wholly or partly in the period from 24 June 2012 up to and including 24 June 2014. Warrants should be exercised within a period of four weeks after the publication of the Company's annual reports or interim reports. The first period in which warrants granted can be exercised is the four-week period after the publication of the Company's interim report 2012, and the last period in which warrants granted can be exercised is the four-week period after the publication of the Company's annual report for 2013.</w:t>
      </w:r>
    </w:p>
    <w:p w:rsidR="00947345" w:rsidRPr="00947345" w:rsidRDefault="00947345" w:rsidP="00BD2C69">
      <w:pPr>
        <w:spacing w:after="0"/>
        <w:jc w:val="both"/>
        <w:rPr>
          <w:rFonts w:ascii="Verdana" w:hAnsi="Verdana"/>
          <w:sz w:val="20"/>
          <w:szCs w:val="20"/>
        </w:rPr>
      </w:pPr>
    </w:p>
    <w:p w:rsidR="00947345" w:rsidRDefault="00947345" w:rsidP="00BD2C69">
      <w:pPr>
        <w:spacing w:after="0"/>
        <w:jc w:val="both"/>
        <w:rPr>
          <w:rFonts w:ascii="Verdana" w:hAnsi="Verdana"/>
          <w:sz w:val="20"/>
          <w:szCs w:val="20"/>
        </w:rPr>
      </w:pPr>
      <w:r w:rsidRPr="00947345">
        <w:rPr>
          <w:rFonts w:ascii="Verdana" w:hAnsi="Verdana"/>
          <w:sz w:val="20"/>
          <w:szCs w:val="20"/>
        </w:rPr>
        <w:t>Warrants granted in 2011 can be exercised wholly or partly in the period from 4 May 2013 up to and including 4 May 2015. Warrants should be exercised within a period of four weeks after the publication of the Company's annual reports or interim reports. The first period in which warrants granted can be exercised is the four-week period after the publication of the Company's interim report 2013, and the last period in which warrants granted can be exercised is the four-week period after the publication of the Company's annual report for 2014.</w:t>
      </w:r>
    </w:p>
    <w:p w:rsidR="00ED2604" w:rsidRDefault="00ED2604" w:rsidP="00ED2604">
      <w:pPr>
        <w:spacing w:after="0" w:line="240" w:lineRule="auto"/>
        <w:jc w:val="both"/>
        <w:rPr>
          <w:rFonts w:ascii="Verdana" w:hAnsi="Verdana"/>
          <w:sz w:val="20"/>
          <w:szCs w:val="20"/>
        </w:rPr>
      </w:pPr>
    </w:p>
    <w:p w:rsidR="00ED2604" w:rsidRDefault="00ED2604"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DF194F" w:rsidRDefault="00DF194F" w:rsidP="00ED2604">
      <w:pPr>
        <w:spacing w:after="0" w:line="240" w:lineRule="auto"/>
        <w:jc w:val="both"/>
        <w:rPr>
          <w:rStyle w:val="Strong"/>
          <w:rFonts w:ascii="Verdana" w:hAnsi="Verdana" w:cstheme="minorHAnsi"/>
          <w:color w:val="95B3D7" w:themeColor="accent1" w:themeTint="99"/>
          <w:sz w:val="20"/>
          <w:szCs w:val="20"/>
        </w:rPr>
      </w:pPr>
    </w:p>
    <w:p w:rsidR="00647BD1" w:rsidRDefault="00647BD1" w:rsidP="00ED2604">
      <w:pPr>
        <w:spacing w:after="0" w:line="240" w:lineRule="auto"/>
        <w:jc w:val="both"/>
        <w:rPr>
          <w:rStyle w:val="Strong"/>
          <w:rFonts w:ascii="Verdana" w:hAnsi="Verdana" w:cstheme="minorHAnsi"/>
          <w:color w:val="95B3D7" w:themeColor="accent1" w:themeTint="99"/>
          <w:sz w:val="20"/>
          <w:szCs w:val="20"/>
        </w:rPr>
      </w:pPr>
    </w:p>
    <w:p w:rsidR="000D4BFA" w:rsidRDefault="00947345" w:rsidP="00ED2604">
      <w:pPr>
        <w:spacing w:after="0" w:line="240" w:lineRule="auto"/>
        <w:jc w:val="both"/>
        <w:rPr>
          <w:rStyle w:val="Strong"/>
          <w:rFonts w:ascii="Verdana" w:hAnsi="Verdana" w:cstheme="minorHAnsi"/>
          <w:color w:val="95B3D7" w:themeColor="accent1" w:themeTint="99"/>
          <w:sz w:val="20"/>
          <w:szCs w:val="20"/>
        </w:rPr>
      </w:pPr>
      <w:r>
        <w:rPr>
          <w:rStyle w:val="Strong"/>
          <w:rFonts w:ascii="Verdana" w:hAnsi="Verdana" w:cstheme="minorHAnsi"/>
          <w:color w:val="95B3D7" w:themeColor="accent1" w:themeTint="99"/>
          <w:sz w:val="20"/>
          <w:szCs w:val="20"/>
        </w:rPr>
        <w:t>26</w:t>
      </w:r>
      <w:r w:rsidR="000D4BFA">
        <w:rPr>
          <w:rStyle w:val="Strong"/>
          <w:rFonts w:ascii="Verdana" w:hAnsi="Verdana" w:cstheme="minorHAnsi"/>
          <w:color w:val="95B3D7" w:themeColor="accent1" w:themeTint="99"/>
          <w:sz w:val="20"/>
          <w:szCs w:val="20"/>
        </w:rPr>
        <w:t xml:space="preserve">. </w:t>
      </w:r>
      <w:r w:rsidR="000D4BFA">
        <w:rPr>
          <w:rStyle w:val="Strong"/>
          <w:rFonts w:ascii="Verdana" w:hAnsi="Verdana" w:cstheme="minorHAnsi"/>
          <w:color w:val="95B3D7" w:themeColor="accent1" w:themeTint="99"/>
          <w:sz w:val="20"/>
          <w:szCs w:val="20"/>
        </w:rPr>
        <w:tab/>
        <w:t>Contingent liabilities and contractual obligations</w:t>
      </w:r>
    </w:p>
    <w:p w:rsidR="000D4BFA" w:rsidRDefault="0091035A" w:rsidP="000D4BFA">
      <w:pPr>
        <w:jc w:val="both"/>
        <w:rPr>
          <w:rStyle w:val="Strong"/>
          <w:rFonts w:ascii="Verdana" w:hAnsi="Verdana" w:cstheme="minorHAnsi"/>
          <w:color w:val="95B3D7" w:themeColor="accent1" w:themeTint="99"/>
          <w:sz w:val="20"/>
          <w:szCs w:val="20"/>
        </w:rPr>
      </w:pPr>
      <w:r w:rsidRPr="0091035A">
        <w:rPr>
          <w:rStyle w:val="Strong"/>
          <w:rFonts w:ascii="Verdana" w:hAnsi="Verdana" w:cstheme="minorHAnsi"/>
          <w:b w:val="0"/>
          <w:bCs w:val="0"/>
          <w:color w:val="95B3D7" w:themeColor="accent1" w:themeTint="99"/>
          <w:sz w:val="20"/>
          <w:szCs w:val="20"/>
        </w:rPr>
        <w:t xml:space="preserve"> </w:t>
      </w:r>
      <w:r w:rsidRPr="0091035A">
        <w:rPr>
          <w:rStyle w:val="Strong"/>
          <w:b w:val="0"/>
          <w:bCs w:val="0"/>
          <w:noProof/>
          <w:lang w:val="da-DK" w:eastAsia="da-DK"/>
        </w:rPr>
        <w:drawing>
          <wp:inline distT="0" distB="0" distL="0" distR="0" wp14:anchorId="31FEDFF7" wp14:editId="19E2C500">
            <wp:extent cx="6300470" cy="74945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00470" cy="749450"/>
                    </a:xfrm>
                    <a:prstGeom prst="rect">
                      <a:avLst/>
                    </a:prstGeom>
                    <a:noFill/>
                    <a:ln>
                      <a:noFill/>
                    </a:ln>
                  </pic:spPr>
                </pic:pic>
              </a:graphicData>
            </a:graphic>
          </wp:inline>
        </w:drawing>
      </w:r>
    </w:p>
    <w:p w:rsidR="000D4BFA" w:rsidRPr="000D4BFA" w:rsidRDefault="000D4BFA" w:rsidP="00BD2C69">
      <w:pPr>
        <w:spacing w:after="0"/>
        <w:jc w:val="both"/>
        <w:rPr>
          <w:rStyle w:val="Strong"/>
          <w:rFonts w:ascii="Verdana" w:hAnsi="Verdana" w:cstheme="minorHAnsi"/>
          <w:sz w:val="20"/>
          <w:szCs w:val="20"/>
        </w:rPr>
      </w:pPr>
      <w:r w:rsidRPr="000D4BFA">
        <w:rPr>
          <w:rStyle w:val="Strong"/>
          <w:rFonts w:ascii="Verdana" w:hAnsi="Verdana" w:cstheme="minorHAnsi"/>
          <w:sz w:val="20"/>
          <w:szCs w:val="20"/>
        </w:rPr>
        <w:t>Lawsuits</w:t>
      </w:r>
    </w:p>
    <w:p w:rsidR="000D4BFA" w:rsidRDefault="000D4BFA" w:rsidP="00BD2C69">
      <w:pPr>
        <w:spacing w:after="0"/>
        <w:jc w:val="both"/>
        <w:rPr>
          <w:rStyle w:val="Strong"/>
          <w:rFonts w:ascii="Verdana" w:hAnsi="Verdana" w:cstheme="minorHAnsi"/>
          <w:b w:val="0"/>
          <w:sz w:val="20"/>
          <w:szCs w:val="20"/>
        </w:rPr>
      </w:pPr>
      <w:r w:rsidRPr="000D4BFA">
        <w:rPr>
          <w:rStyle w:val="Strong"/>
          <w:rFonts w:ascii="Verdana" w:hAnsi="Verdana" w:cstheme="minorHAnsi"/>
          <w:b w:val="0"/>
          <w:sz w:val="20"/>
          <w:szCs w:val="20"/>
        </w:rPr>
        <w:t>Nordic Shipholding A/S is not involved in any lawsuits or arbitration cases which could have essential influence on the Company's or the Group’s financial position or result.</w:t>
      </w:r>
    </w:p>
    <w:p w:rsidR="004E35DC" w:rsidRDefault="004E35DC" w:rsidP="00BD2C69">
      <w:pPr>
        <w:spacing w:after="0"/>
        <w:jc w:val="both"/>
        <w:rPr>
          <w:rStyle w:val="Strong"/>
          <w:rFonts w:ascii="Verdana" w:hAnsi="Verdana" w:cstheme="minorHAnsi"/>
          <w:b w:val="0"/>
          <w:sz w:val="20"/>
          <w:szCs w:val="20"/>
        </w:rPr>
      </w:pPr>
    </w:p>
    <w:p w:rsidR="00003FFC" w:rsidRPr="00003FFC" w:rsidRDefault="00003FFC" w:rsidP="00BD2C69">
      <w:pPr>
        <w:tabs>
          <w:tab w:val="left" w:pos="360"/>
        </w:tabs>
        <w:spacing w:after="0"/>
        <w:ind w:left="360" w:hanging="360"/>
        <w:jc w:val="both"/>
        <w:rPr>
          <w:rFonts w:ascii="Verdana" w:hAnsi="Verdana"/>
          <w:sz w:val="18"/>
          <w:szCs w:val="18"/>
        </w:rPr>
      </w:pPr>
      <w:r w:rsidRPr="00003FFC">
        <w:rPr>
          <w:rFonts w:ascii="Verdana" w:hAnsi="Verdana"/>
          <w:sz w:val="18"/>
          <w:szCs w:val="18"/>
          <w:lang w:val="en-GB"/>
        </w:rPr>
        <w:t xml:space="preserve">^  </w:t>
      </w:r>
      <w:r>
        <w:rPr>
          <w:rFonts w:ascii="Verdana" w:hAnsi="Verdana"/>
          <w:sz w:val="18"/>
          <w:szCs w:val="18"/>
          <w:lang w:val="en-GB"/>
        </w:rPr>
        <w:tab/>
      </w:r>
      <w:r w:rsidRPr="00003FFC">
        <w:rPr>
          <w:rFonts w:ascii="Verdana" w:hAnsi="Verdana"/>
          <w:sz w:val="18"/>
          <w:szCs w:val="18"/>
          <w:lang w:val="en-GB"/>
        </w:rPr>
        <w:t>The security provided to the lending banks includes cross-collateralised mortgages over all vessels owned by the Group, pledge over the shares in all subsidiaries, assignment of earnings and insurances in respect of all vessels owned by the Group, cross-guarantees from all subsidiaries in the Group and Nordic Shipholding in each case as primary and joint liable obligors, and pledge of bank accounts operated by the Group.</w:t>
      </w:r>
    </w:p>
    <w:p w:rsidR="00003FFC" w:rsidRDefault="00003FFC" w:rsidP="00BD2C69">
      <w:pPr>
        <w:spacing w:after="0"/>
        <w:jc w:val="both"/>
        <w:rPr>
          <w:rStyle w:val="Strong"/>
          <w:rFonts w:ascii="Verdana" w:hAnsi="Verdana" w:cstheme="minorHAnsi"/>
          <w:b w:val="0"/>
          <w:sz w:val="20"/>
          <w:szCs w:val="20"/>
        </w:rPr>
      </w:pPr>
    </w:p>
    <w:p w:rsidR="00647BD1" w:rsidRDefault="00647BD1" w:rsidP="00BD2C69">
      <w:pPr>
        <w:spacing w:after="0"/>
        <w:jc w:val="both"/>
        <w:rPr>
          <w:rStyle w:val="Strong"/>
          <w:rFonts w:ascii="Verdana" w:hAnsi="Verdana" w:cstheme="minorHAnsi"/>
          <w:b w:val="0"/>
          <w:sz w:val="20"/>
          <w:szCs w:val="20"/>
        </w:rPr>
      </w:pPr>
    </w:p>
    <w:p w:rsidR="00947345" w:rsidRDefault="00947345" w:rsidP="00BD2C69">
      <w:pPr>
        <w:spacing w:after="0"/>
        <w:jc w:val="both"/>
        <w:rPr>
          <w:rFonts w:ascii="Verdana" w:hAnsi="Verdana"/>
          <w:b/>
          <w:color w:val="95B3D7" w:themeColor="accent1" w:themeTint="99"/>
          <w:sz w:val="20"/>
          <w:szCs w:val="20"/>
        </w:rPr>
      </w:pPr>
      <w:r>
        <w:rPr>
          <w:rStyle w:val="Strong"/>
          <w:rFonts w:ascii="Verdana" w:hAnsi="Verdana" w:cstheme="minorHAnsi"/>
          <w:color w:val="95B3D7" w:themeColor="accent1" w:themeTint="99"/>
          <w:sz w:val="20"/>
          <w:szCs w:val="20"/>
        </w:rPr>
        <w:t xml:space="preserve">27. </w:t>
      </w:r>
      <w:r>
        <w:rPr>
          <w:rStyle w:val="Strong"/>
          <w:rFonts w:ascii="Verdana" w:hAnsi="Verdana" w:cstheme="minorHAnsi"/>
          <w:color w:val="95B3D7" w:themeColor="accent1" w:themeTint="99"/>
          <w:sz w:val="20"/>
          <w:szCs w:val="20"/>
        </w:rPr>
        <w:tab/>
      </w:r>
      <w:r w:rsidRPr="00947345">
        <w:rPr>
          <w:rFonts w:ascii="Verdana" w:hAnsi="Verdana"/>
          <w:b/>
          <w:color w:val="95B3D7" w:themeColor="accent1" w:themeTint="99"/>
          <w:sz w:val="20"/>
          <w:szCs w:val="20"/>
        </w:rPr>
        <w:t>Significant events after the balance sheet date</w:t>
      </w:r>
    </w:p>
    <w:p w:rsidR="00647BD1" w:rsidRPr="00947345" w:rsidRDefault="00647BD1" w:rsidP="00BD2C69">
      <w:pPr>
        <w:spacing w:after="0"/>
        <w:jc w:val="both"/>
        <w:rPr>
          <w:rFonts w:ascii="Verdana" w:hAnsi="Verdana"/>
          <w:b/>
          <w:color w:val="95B3D7" w:themeColor="accent1" w:themeTint="99"/>
          <w:sz w:val="20"/>
          <w:szCs w:val="20"/>
        </w:rPr>
      </w:pPr>
    </w:p>
    <w:p w:rsidR="00947345" w:rsidRPr="001035E3" w:rsidRDefault="00947345" w:rsidP="00BD2C69">
      <w:pPr>
        <w:spacing w:after="0"/>
        <w:jc w:val="both"/>
        <w:rPr>
          <w:rFonts w:ascii="Verdana" w:hAnsi="Verdana" w:cs="Arial"/>
          <w:sz w:val="20"/>
          <w:szCs w:val="20"/>
          <w:lang w:val="en"/>
        </w:rPr>
      </w:pPr>
      <w:r w:rsidRPr="001035E3">
        <w:rPr>
          <w:rFonts w:ascii="Verdana" w:hAnsi="Verdana" w:cs="Arial"/>
          <w:sz w:val="20"/>
          <w:szCs w:val="20"/>
          <w:lang w:val="en"/>
        </w:rPr>
        <w:t xml:space="preserve">Following the completion of the restructuring, Nordic Shipholding is in the process of transferring its vessels to separate wholly-owned legal entities in Singapore.  As of the date of this report, only Nordic Agnetha has been transferred, whilst the remaining 5 vessels will be transferred by 30 June 2014. </w:t>
      </w:r>
    </w:p>
    <w:p w:rsidR="00947345" w:rsidRDefault="00947345"/>
    <w:p w:rsidR="00947345" w:rsidRDefault="00947345"/>
    <w:p w:rsidR="00947345" w:rsidRDefault="00947345"/>
    <w:p w:rsidR="00947345" w:rsidRDefault="00947345"/>
    <w:p w:rsidR="00947345" w:rsidRDefault="00947345"/>
    <w:p w:rsidR="00947345" w:rsidRDefault="00947345"/>
    <w:p w:rsidR="00947345" w:rsidRDefault="00947345"/>
    <w:p w:rsidR="000D4BFA" w:rsidRDefault="000D4BFA"/>
    <w:p w:rsidR="000D4BFA" w:rsidRDefault="000D4BFA"/>
    <w:p w:rsidR="00ED2604" w:rsidRDefault="00ED2604"/>
    <w:p w:rsidR="00ED2604" w:rsidRDefault="00ED2604"/>
    <w:p w:rsidR="00ED2604" w:rsidRDefault="00ED2604"/>
    <w:p w:rsidR="00ED2604" w:rsidRDefault="00ED2604"/>
    <w:p w:rsidR="00ED2604" w:rsidRDefault="00ED2604"/>
    <w:p w:rsidR="00ED2604" w:rsidRDefault="00ED2604"/>
    <w:p w:rsidR="00ED2604" w:rsidRDefault="00ED2604"/>
    <w:p w:rsidR="00381BC8" w:rsidRDefault="00647BD1" w:rsidP="00381BC8">
      <w:pPr>
        <w:pStyle w:val="Heading1"/>
        <w:rPr>
          <w:rFonts w:ascii="Verdana" w:hAnsi="Verdana"/>
          <w:color w:val="17365D" w:themeColor="text2" w:themeShade="BF"/>
          <w:sz w:val="40"/>
          <w:szCs w:val="20"/>
          <w:lang w:val="en-GB"/>
        </w:rPr>
      </w:pPr>
      <w:r>
        <w:rPr>
          <w:rFonts w:ascii="Verdana" w:hAnsi="Verdana"/>
          <w:color w:val="17365D" w:themeColor="text2" w:themeShade="BF"/>
          <w:sz w:val="40"/>
          <w:szCs w:val="20"/>
          <w:lang w:val="en-GB"/>
        </w:rPr>
        <w:t>D</w:t>
      </w:r>
      <w:r w:rsidR="00381BC8" w:rsidRPr="00381BC8">
        <w:rPr>
          <w:rFonts w:ascii="Verdana" w:hAnsi="Verdana"/>
          <w:color w:val="17365D" w:themeColor="text2" w:themeShade="BF"/>
          <w:sz w:val="40"/>
          <w:szCs w:val="20"/>
          <w:lang w:val="en-GB"/>
        </w:rPr>
        <w:t>efinitions and calculation formulas</w:t>
      </w:r>
    </w:p>
    <w:p w:rsidR="00122650" w:rsidRDefault="00122650" w:rsidP="00122650">
      <w:pPr>
        <w:rPr>
          <w:lang w:val="en-GB" w:eastAsia="da-DK"/>
        </w:rPr>
      </w:pPr>
    </w:p>
    <w:p w:rsidR="00013C7E" w:rsidRPr="00013C7E" w:rsidRDefault="00013C7E" w:rsidP="00013C7E">
      <w:pPr>
        <w:jc w:val="both"/>
        <w:rPr>
          <w:rFonts w:ascii="Verdana" w:hAnsi="Verdana"/>
          <w:sz w:val="20"/>
          <w:szCs w:val="20"/>
          <w:lang w:val="en-GB" w:eastAsia="da-DK"/>
        </w:rPr>
      </w:pPr>
      <w:r w:rsidRPr="00013C7E">
        <w:rPr>
          <w:rFonts w:ascii="Verdana" w:hAnsi="Verdana"/>
          <w:sz w:val="20"/>
          <w:szCs w:val="20"/>
          <w:lang w:val="en-GB" w:eastAsia="da-DK"/>
        </w:rPr>
        <w:t xml:space="preserve">Unless otherwise stated, key figures and ratios have been calculated in accordance with the standards laid down by the Danish Society of Financial Analysts in “Recommendations &amp; Financial Ratios 2010”. </w:t>
      </w:r>
    </w:p>
    <w:p w:rsidR="00122650" w:rsidRDefault="00013C7E" w:rsidP="00013C7E">
      <w:pPr>
        <w:jc w:val="both"/>
        <w:rPr>
          <w:rFonts w:ascii="Verdana" w:hAnsi="Verdana"/>
          <w:sz w:val="20"/>
          <w:szCs w:val="20"/>
          <w:lang w:val="en-GB" w:eastAsia="da-DK"/>
        </w:rPr>
      </w:pPr>
      <w:r w:rsidRPr="00013C7E">
        <w:rPr>
          <w:rFonts w:ascii="Verdana" w:hAnsi="Verdana"/>
          <w:sz w:val="20"/>
          <w:szCs w:val="20"/>
          <w:lang w:val="en-GB" w:eastAsia="da-DK"/>
        </w:rPr>
        <w:t xml:space="preserve">Net interest-bearing debt is defined as the sum of finance loans less cash and cash equivalents. Invested capital is defined as net working capital (NWC) plus property, plant and equipment and intangibles and less other provisions and other non-current operating liabilities. The equity ratio is defined as equity divided by total assets. This financial ratio is not defined in the Danish Society of Financial Analysts’ guidelines “Recommendations &amp; Financial Ratios 2010”. Net working capital (NWC) is defined as inventories, receivables and other current operating assets less trade payables and other liabilities </w:t>
      </w:r>
      <w:r w:rsidR="005245D8">
        <w:rPr>
          <w:rFonts w:ascii="Verdana" w:hAnsi="Verdana"/>
          <w:sz w:val="20"/>
          <w:szCs w:val="20"/>
          <w:lang w:val="en-GB" w:eastAsia="da-DK"/>
        </w:rPr>
        <w:t xml:space="preserve">(excluding </w:t>
      </w:r>
      <w:r w:rsidRPr="00013C7E">
        <w:rPr>
          <w:rFonts w:ascii="Verdana" w:hAnsi="Verdana"/>
          <w:sz w:val="20"/>
          <w:szCs w:val="20"/>
          <w:lang w:val="en-GB" w:eastAsia="da-DK"/>
        </w:rPr>
        <w:t>provisions</w:t>
      </w:r>
      <w:r w:rsidR="005245D8">
        <w:rPr>
          <w:rFonts w:ascii="Verdana" w:hAnsi="Verdana"/>
          <w:sz w:val="20"/>
          <w:szCs w:val="20"/>
          <w:lang w:val="en-GB" w:eastAsia="da-DK"/>
        </w:rPr>
        <w:t>)</w:t>
      </w:r>
      <w:r w:rsidRPr="00013C7E">
        <w:rPr>
          <w:rFonts w:ascii="Verdana" w:hAnsi="Verdana"/>
          <w:sz w:val="20"/>
          <w:szCs w:val="20"/>
          <w:lang w:val="en-GB" w:eastAsia="da-DK"/>
        </w:rPr>
        <w:t xml:space="preserve"> as well as other current operating liabilities. </w:t>
      </w:r>
    </w:p>
    <w:p w:rsidR="009C43AE" w:rsidRPr="00013C7E" w:rsidRDefault="009C43AE" w:rsidP="00013C7E">
      <w:pPr>
        <w:jc w:val="both"/>
        <w:rPr>
          <w:rFonts w:ascii="Verdana" w:hAnsi="Verdana"/>
          <w:sz w:val="20"/>
          <w:szCs w:val="20"/>
          <w:lang w:val="en-GB" w:eastAsia="da-DK"/>
        </w:rPr>
      </w:pPr>
    </w:p>
    <w:p w:rsidR="00381BC8" w:rsidRPr="00381BC8" w:rsidRDefault="009C43AE" w:rsidP="00381BC8">
      <w:pPr>
        <w:rPr>
          <w:lang w:val="en-GB" w:eastAsia="da-DK"/>
        </w:rPr>
      </w:pPr>
      <w:r w:rsidRPr="009C43AE">
        <w:rPr>
          <w:noProof/>
          <w:lang w:val="da-DK" w:eastAsia="da-DK"/>
        </w:rPr>
        <w:drawing>
          <wp:inline distT="0" distB="0" distL="0" distR="0">
            <wp:extent cx="5029200" cy="34359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29200" cy="3435985"/>
                    </a:xfrm>
                    <a:prstGeom prst="rect">
                      <a:avLst/>
                    </a:prstGeom>
                    <a:noFill/>
                    <a:ln>
                      <a:noFill/>
                    </a:ln>
                  </pic:spPr>
                </pic:pic>
              </a:graphicData>
            </a:graphic>
          </wp:inline>
        </w:drawing>
      </w:r>
    </w:p>
    <w:p w:rsidR="00381BC8" w:rsidRDefault="00381BC8" w:rsidP="00015D2C">
      <w:pPr>
        <w:tabs>
          <w:tab w:val="left" w:pos="4050"/>
        </w:tabs>
      </w:pPr>
    </w:p>
    <w:sectPr w:rsidR="00381BC8" w:rsidSect="00183D1E">
      <w:headerReference w:type="default" r:id="rId71"/>
      <w:footerReference w:type="default" r:id="rId72"/>
      <w:pgSz w:w="11907" w:h="16839" w:code="9"/>
      <w:pgMar w:top="1134" w:right="851" w:bottom="1134" w:left="1134" w:header="850"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68" w:rsidRDefault="00533C68" w:rsidP="00F5362F">
      <w:pPr>
        <w:spacing w:after="0" w:line="240" w:lineRule="auto"/>
      </w:pPr>
      <w:r>
        <w:separator/>
      </w:r>
    </w:p>
  </w:endnote>
  <w:endnote w:type="continuationSeparator" w:id="0">
    <w:p w:rsidR="00533C68" w:rsidRDefault="00533C68" w:rsidP="00F5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88t00">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lama-Bold">
    <w:panose1 w:val="00000000000000000000"/>
    <w:charset w:val="00"/>
    <w:family w:val="swiss"/>
    <w:notTrueType/>
    <w:pitch w:val="default"/>
    <w:sig w:usb0="00000003" w:usb1="00000000" w:usb2="00000000" w:usb3="00000000" w:csb0="00000001" w:csb1="00000000"/>
  </w:font>
  <w:font w:name="D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45115"/>
      <w:docPartObj>
        <w:docPartGallery w:val="Page Numbers (Bottom of Page)"/>
        <w:docPartUnique/>
      </w:docPartObj>
    </w:sdtPr>
    <w:sdtEndPr>
      <w:rPr>
        <w:noProof/>
      </w:rPr>
    </w:sdtEndPr>
    <w:sdtContent>
      <w:p w:rsidR="00501235" w:rsidRDefault="00501235">
        <w:pPr>
          <w:pStyle w:val="Footer"/>
          <w:jc w:val="right"/>
        </w:pPr>
        <w:r>
          <w:fldChar w:fldCharType="begin"/>
        </w:r>
        <w:r>
          <w:instrText xml:space="preserve"> PAGE   \* MERGEFORMAT </w:instrText>
        </w:r>
        <w:r>
          <w:fldChar w:fldCharType="separate"/>
        </w:r>
        <w:r w:rsidR="0005025F">
          <w:rPr>
            <w:noProof/>
          </w:rPr>
          <w:t>73</w:t>
        </w:r>
        <w:r>
          <w:rPr>
            <w:noProof/>
          </w:rPr>
          <w:fldChar w:fldCharType="end"/>
        </w:r>
      </w:p>
    </w:sdtContent>
  </w:sdt>
  <w:p w:rsidR="00501235" w:rsidRDefault="0050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68" w:rsidRDefault="00533C68" w:rsidP="00F5362F">
      <w:pPr>
        <w:spacing w:after="0" w:line="240" w:lineRule="auto"/>
      </w:pPr>
      <w:r>
        <w:separator/>
      </w:r>
    </w:p>
  </w:footnote>
  <w:footnote w:type="continuationSeparator" w:id="0">
    <w:p w:rsidR="00533C68" w:rsidRDefault="00533C68" w:rsidP="00F53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35" w:rsidRDefault="00533C68">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00A"/>
    <w:multiLevelType w:val="hybridMultilevel"/>
    <w:tmpl w:val="B770DF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AC70B9"/>
    <w:multiLevelType w:val="hybridMultilevel"/>
    <w:tmpl w:val="94EC86B4"/>
    <w:lvl w:ilvl="0" w:tplc="1C7E82E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0987323F"/>
    <w:multiLevelType w:val="hybridMultilevel"/>
    <w:tmpl w:val="B0EE2D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5574BC"/>
    <w:multiLevelType w:val="hybridMultilevel"/>
    <w:tmpl w:val="2DA45DFC"/>
    <w:lvl w:ilvl="0" w:tplc="74D0DE84">
      <w:start w:val="20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ED66D5"/>
    <w:multiLevelType w:val="hybridMultilevel"/>
    <w:tmpl w:val="AB88044A"/>
    <w:lvl w:ilvl="0" w:tplc="04060005">
      <w:start w:val="1"/>
      <w:numFmt w:val="bullet"/>
      <w:lvlText w:val=""/>
      <w:lvlJc w:val="left"/>
      <w:pPr>
        <w:ind w:left="720" w:hanging="360"/>
      </w:pPr>
      <w:rPr>
        <w:rFonts w:ascii="Wingdings" w:hAnsi="Wingdings" w:hint="default"/>
      </w:rPr>
    </w:lvl>
    <w:lvl w:ilvl="1" w:tplc="F9721D36">
      <w:numFmt w:val="bullet"/>
      <w:lvlText w:val="•"/>
      <w:lvlJc w:val="left"/>
      <w:pPr>
        <w:ind w:left="1440" w:hanging="360"/>
      </w:pPr>
      <w:rPr>
        <w:rFonts w:ascii="Calibri" w:eastAsiaTheme="minorHAnsi" w:hAnsi="Calibri"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F34A94"/>
    <w:multiLevelType w:val="hybridMultilevel"/>
    <w:tmpl w:val="29E233B2"/>
    <w:lvl w:ilvl="0" w:tplc="11322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A4869"/>
    <w:multiLevelType w:val="hybridMultilevel"/>
    <w:tmpl w:val="36C8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3C97"/>
    <w:multiLevelType w:val="hybridMultilevel"/>
    <w:tmpl w:val="7A0486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22583883"/>
    <w:multiLevelType w:val="hybridMultilevel"/>
    <w:tmpl w:val="95FECE30"/>
    <w:lvl w:ilvl="0" w:tplc="11322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D7540"/>
    <w:multiLevelType w:val="hybridMultilevel"/>
    <w:tmpl w:val="CABC1D08"/>
    <w:lvl w:ilvl="0" w:tplc="F9721D36">
      <w:numFmt w:val="bullet"/>
      <w:lvlText w:val="•"/>
      <w:lvlJc w:val="left"/>
      <w:pPr>
        <w:ind w:left="720" w:hanging="360"/>
      </w:pPr>
      <w:rPr>
        <w:rFonts w:ascii="Calibri" w:eastAsiaTheme="minorHAnsi" w:hAnsi="Calibri"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8628E6"/>
    <w:multiLevelType w:val="hybridMultilevel"/>
    <w:tmpl w:val="54A81BFA"/>
    <w:lvl w:ilvl="0" w:tplc="F9721D36">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1345D"/>
    <w:multiLevelType w:val="hybridMultilevel"/>
    <w:tmpl w:val="21FE6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0FB4690"/>
    <w:multiLevelType w:val="hybridMultilevel"/>
    <w:tmpl w:val="9084A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70323A8"/>
    <w:multiLevelType w:val="hybridMultilevel"/>
    <w:tmpl w:val="41561652"/>
    <w:lvl w:ilvl="0" w:tplc="127A4C02">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4">
    <w:nsid w:val="37B679DB"/>
    <w:multiLevelType w:val="hybridMultilevel"/>
    <w:tmpl w:val="1212C2B8"/>
    <w:lvl w:ilvl="0" w:tplc="237E0910">
      <w:numFmt w:val="decimal"/>
      <w:lvlText w:val="%1."/>
      <w:lvlJc w:val="left"/>
      <w:pPr>
        <w:ind w:left="720" w:hanging="360"/>
      </w:pPr>
      <w:rPr>
        <w:rFonts w:ascii="Verdana" w:hAnsi="Verdana"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A1F6E"/>
    <w:multiLevelType w:val="hybridMultilevel"/>
    <w:tmpl w:val="016CE66A"/>
    <w:lvl w:ilvl="0" w:tplc="F9721D36">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F7EA2"/>
    <w:multiLevelType w:val="hybridMultilevel"/>
    <w:tmpl w:val="1D64E0D0"/>
    <w:lvl w:ilvl="0" w:tplc="1B6094A2">
      <w:start w:val="1"/>
      <w:numFmt w:val="lowerRoman"/>
      <w:lvlText w:val="%1)"/>
      <w:lvlJc w:val="left"/>
      <w:pPr>
        <w:ind w:left="720" w:hanging="360"/>
      </w:pPr>
      <w:rPr>
        <w:rFonts w:ascii="Verdana" w:eastAsiaTheme="minorHAnsi" w:hAnsi="Verdana"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E5B65F8"/>
    <w:multiLevelType w:val="hybridMultilevel"/>
    <w:tmpl w:val="70946A52"/>
    <w:lvl w:ilvl="0" w:tplc="7CAC7352">
      <w:start w:val="1"/>
      <w:numFmt w:val="lowerRoman"/>
      <w:lvlText w:val="(%1)"/>
      <w:lvlJc w:val="left"/>
      <w:pPr>
        <w:ind w:left="1260" w:hanging="72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7007CB1"/>
    <w:multiLevelType w:val="hybridMultilevel"/>
    <w:tmpl w:val="E62A8808"/>
    <w:lvl w:ilvl="0" w:tplc="1B8C3D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122EC1"/>
    <w:multiLevelType w:val="hybridMultilevel"/>
    <w:tmpl w:val="C1043976"/>
    <w:lvl w:ilvl="0" w:tplc="7292ADEE">
      <w:start w:val="1"/>
      <w:numFmt w:val="bullet"/>
      <w:pStyle w:val="BulletMain"/>
      <w:lvlText w:val=""/>
      <w:lvlJc w:val="left"/>
      <w:pPr>
        <w:tabs>
          <w:tab w:val="num" w:pos="1080"/>
        </w:tabs>
        <w:ind w:left="1080" w:hanging="360"/>
      </w:pPr>
      <w:rPr>
        <w:rFonts w:ascii="Symbol" w:hAnsi="Symbol" w:hint="default"/>
        <w:b w:val="0"/>
        <w:i w:val="0"/>
        <w:color w:val="auto"/>
        <w:sz w:val="24"/>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74D232A"/>
    <w:multiLevelType w:val="hybridMultilevel"/>
    <w:tmpl w:val="61F4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536F0"/>
    <w:multiLevelType w:val="hybridMultilevel"/>
    <w:tmpl w:val="A3CA09D2"/>
    <w:lvl w:ilvl="0" w:tplc="48090001">
      <w:start w:val="1"/>
      <w:numFmt w:val="bullet"/>
      <w:lvlText w:val=""/>
      <w:lvlJc w:val="left"/>
      <w:pPr>
        <w:ind w:left="1443" w:hanging="360"/>
      </w:pPr>
      <w:rPr>
        <w:rFonts w:ascii="Symbol" w:hAnsi="Symbol" w:hint="default"/>
      </w:rPr>
    </w:lvl>
    <w:lvl w:ilvl="1" w:tplc="48090003" w:tentative="1">
      <w:start w:val="1"/>
      <w:numFmt w:val="bullet"/>
      <w:lvlText w:val="o"/>
      <w:lvlJc w:val="left"/>
      <w:pPr>
        <w:ind w:left="2163" w:hanging="360"/>
      </w:pPr>
      <w:rPr>
        <w:rFonts w:ascii="Courier New" w:hAnsi="Courier New" w:cs="Courier New" w:hint="default"/>
      </w:rPr>
    </w:lvl>
    <w:lvl w:ilvl="2" w:tplc="48090005" w:tentative="1">
      <w:start w:val="1"/>
      <w:numFmt w:val="bullet"/>
      <w:lvlText w:val=""/>
      <w:lvlJc w:val="left"/>
      <w:pPr>
        <w:ind w:left="2883" w:hanging="360"/>
      </w:pPr>
      <w:rPr>
        <w:rFonts w:ascii="Wingdings" w:hAnsi="Wingdings" w:hint="default"/>
      </w:rPr>
    </w:lvl>
    <w:lvl w:ilvl="3" w:tplc="48090001" w:tentative="1">
      <w:start w:val="1"/>
      <w:numFmt w:val="bullet"/>
      <w:lvlText w:val=""/>
      <w:lvlJc w:val="left"/>
      <w:pPr>
        <w:ind w:left="3603" w:hanging="360"/>
      </w:pPr>
      <w:rPr>
        <w:rFonts w:ascii="Symbol" w:hAnsi="Symbol" w:hint="default"/>
      </w:rPr>
    </w:lvl>
    <w:lvl w:ilvl="4" w:tplc="48090003" w:tentative="1">
      <w:start w:val="1"/>
      <w:numFmt w:val="bullet"/>
      <w:lvlText w:val="o"/>
      <w:lvlJc w:val="left"/>
      <w:pPr>
        <w:ind w:left="4323" w:hanging="360"/>
      </w:pPr>
      <w:rPr>
        <w:rFonts w:ascii="Courier New" w:hAnsi="Courier New" w:cs="Courier New" w:hint="default"/>
      </w:rPr>
    </w:lvl>
    <w:lvl w:ilvl="5" w:tplc="48090005" w:tentative="1">
      <w:start w:val="1"/>
      <w:numFmt w:val="bullet"/>
      <w:lvlText w:val=""/>
      <w:lvlJc w:val="left"/>
      <w:pPr>
        <w:ind w:left="5043" w:hanging="360"/>
      </w:pPr>
      <w:rPr>
        <w:rFonts w:ascii="Wingdings" w:hAnsi="Wingdings" w:hint="default"/>
      </w:rPr>
    </w:lvl>
    <w:lvl w:ilvl="6" w:tplc="48090001" w:tentative="1">
      <w:start w:val="1"/>
      <w:numFmt w:val="bullet"/>
      <w:lvlText w:val=""/>
      <w:lvlJc w:val="left"/>
      <w:pPr>
        <w:ind w:left="5763" w:hanging="360"/>
      </w:pPr>
      <w:rPr>
        <w:rFonts w:ascii="Symbol" w:hAnsi="Symbol" w:hint="default"/>
      </w:rPr>
    </w:lvl>
    <w:lvl w:ilvl="7" w:tplc="48090003" w:tentative="1">
      <w:start w:val="1"/>
      <w:numFmt w:val="bullet"/>
      <w:lvlText w:val="o"/>
      <w:lvlJc w:val="left"/>
      <w:pPr>
        <w:ind w:left="6483" w:hanging="360"/>
      </w:pPr>
      <w:rPr>
        <w:rFonts w:ascii="Courier New" w:hAnsi="Courier New" w:cs="Courier New" w:hint="default"/>
      </w:rPr>
    </w:lvl>
    <w:lvl w:ilvl="8" w:tplc="48090005" w:tentative="1">
      <w:start w:val="1"/>
      <w:numFmt w:val="bullet"/>
      <w:lvlText w:val=""/>
      <w:lvlJc w:val="left"/>
      <w:pPr>
        <w:ind w:left="7203" w:hanging="360"/>
      </w:pPr>
      <w:rPr>
        <w:rFonts w:ascii="Wingdings" w:hAnsi="Wingdings" w:hint="default"/>
      </w:rPr>
    </w:lvl>
  </w:abstractNum>
  <w:abstractNum w:abstractNumId="22">
    <w:nsid w:val="4BD44C59"/>
    <w:multiLevelType w:val="hybridMultilevel"/>
    <w:tmpl w:val="682CEC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D1B120F"/>
    <w:multiLevelType w:val="hybridMultilevel"/>
    <w:tmpl w:val="0794F7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FB55DEC"/>
    <w:multiLevelType w:val="hybridMultilevel"/>
    <w:tmpl w:val="02CCBB28"/>
    <w:lvl w:ilvl="0" w:tplc="00D67A6A">
      <w:start w:val="1"/>
      <w:numFmt w:val="bullet"/>
      <w:lvlText w:val=" "/>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86877"/>
    <w:multiLevelType w:val="hybridMultilevel"/>
    <w:tmpl w:val="D7940A84"/>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1E151E1"/>
    <w:multiLevelType w:val="hybridMultilevel"/>
    <w:tmpl w:val="00A4113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Times New Roman"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7">
    <w:nsid w:val="650F4369"/>
    <w:multiLevelType w:val="hybridMultilevel"/>
    <w:tmpl w:val="5EE4B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44882"/>
    <w:multiLevelType w:val="hybridMultilevel"/>
    <w:tmpl w:val="95FECE30"/>
    <w:lvl w:ilvl="0" w:tplc="11322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F7CBC"/>
    <w:multiLevelType w:val="hybridMultilevel"/>
    <w:tmpl w:val="F708BA76"/>
    <w:lvl w:ilvl="0" w:tplc="BDB67850">
      <w:start w:val="1"/>
      <w:numFmt w:val="bullet"/>
      <w:lvlText w:val=""/>
      <w:lvlJc w:val="left"/>
      <w:pPr>
        <w:ind w:left="720" w:hanging="360"/>
      </w:pPr>
      <w:rPr>
        <w:rFonts w:ascii="Symbol" w:hAnsi="Symbol" w:hint="default"/>
      </w:rPr>
    </w:lvl>
    <w:lvl w:ilvl="1" w:tplc="0CFEB164" w:tentative="1">
      <w:start w:val="1"/>
      <w:numFmt w:val="bullet"/>
      <w:lvlText w:val="o"/>
      <w:lvlJc w:val="left"/>
      <w:pPr>
        <w:ind w:left="1440" w:hanging="360"/>
      </w:pPr>
      <w:rPr>
        <w:rFonts w:ascii="Courier New" w:hAnsi="Courier New" w:cs="Courier New" w:hint="default"/>
      </w:rPr>
    </w:lvl>
    <w:lvl w:ilvl="2" w:tplc="EBDCF190" w:tentative="1">
      <w:start w:val="1"/>
      <w:numFmt w:val="bullet"/>
      <w:lvlText w:val=""/>
      <w:lvlJc w:val="left"/>
      <w:pPr>
        <w:ind w:left="2160" w:hanging="360"/>
      </w:pPr>
      <w:rPr>
        <w:rFonts w:ascii="Wingdings" w:hAnsi="Wingdings" w:hint="default"/>
      </w:rPr>
    </w:lvl>
    <w:lvl w:ilvl="3" w:tplc="C1D248E0" w:tentative="1">
      <w:start w:val="1"/>
      <w:numFmt w:val="bullet"/>
      <w:lvlText w:val=""/>
      <w:lvlJc w:val="left"/>
      <w:pPr>
        <w:ind w:left="2880" w:hanging="360"/>
      </w:pPr>
      <w:rPr>
        <w:rFonts w:ascii="Symbol" w:hAnsi="Symbol" w:hint="default"/>
      </w:rPr>
    </w:lvl>
    <w:lvl w:ilvl="4" w:tplc="149E2E72" w:tentative="1">
      <w:start w:val="1"/>
      <w:numFmt w:val="bullet"/>
      <w:lvlText w:val="o"/>
      <w:lvlJc w:val="left"/>
      <w:pPr>
        <w:ind w:left="3600" w:hanging="360"/>
      </w:pPr>
      <w:rPr>
        <w:rFonts w:ascii="Courier New" w:hAnsi="Courier New" w:cs="Courier New" w:hint="default"/>
      </w:rPr>
    </w:lvl>
    <w:lvl w:ilvl="5" w:tplc="4A62F2F2" w:tentative="1">
      <w:start w:val="1"/>
      <w:numFmt w:val="bullet"/>
      <w:lvlText w:val=""/>
      <w:lvlJc w:val="left"/>
      <w:pPr>
        <w:ind w:left="4320" w:hanging="360"/>
      </w:pPr>
      <w:rPr>
        <w:rFonts w:ascii="Wingdings" w:hAnsi="Wingdings" w:hint="default"/>
      </w:rPr>
    </w:lvl>
    <w:lvl w:ilvl="6" w:tplc="F648DFC8" w:tentative="1">
      <w:start w:val="1"/>
      <w:numFmt w:val="bullet"/>
      <w:lvlText w:val=""/>
      <w:lvlJc w:val="left"/>
      <w:pPr>
        <w:ind w:left="5040" w:hanging="360"/>
      </w:pPr>
      <w:rPr>
        <w:rFonts w:ascii="Symbol" w:hAnsi="Symbol" w:hint="default"/>
      </w:rPr>
    </w:lvl>
    <w:lvl w:ilvl="7" w:tplc="7DB055A0" w:tentative="1">
      <w:start w:val="1"/>
      <w:numFmt w:val="bullet"/>
      <w:lvlText w:val="o"/>
      <w:lvlJc w:val="left"/>
      <w:pPr>
        <w:ind w:left="5760" w:hanging="360"/>
      </w:pPr>
      <w:rPr>
        <w:rFonts w:ascii="Courier New" w:hAnsi="Courier New" w:cs="Courier New" w:hint="default"/>
      </w:rPr>
    </w:lvl>
    <w:lvl w:ilvl="8" w:tplc="4838F5D0" w:tentative="1">
      <w:start w:val="1"/>
      <w:numFmt w:val="bullet"/>
      <w:lvlText w:val=""/>
      <w:lvlJc w:val="left"/>
      <w:pPr>
        <w:ind w:left="6480" w:hanging="360"/>
      </w:pPr>
      <w:rPr>
        <w:rFonts w:ascii="Wingdings" w:hAnsi="Wingdings" w:hint="default"/>
      </w:rPr>
    </w:lvl>
  </w:abstractNum>
  <w:abstractNum w:abstractNumId="30">
    <w:nsid w:val="69D435B0"/>
    <w:multiLevelType w:val="hybridMultilevel"/>
    <w:tmpl w:val="BD18CBC4"/>
    <w:lvl w:ilvl="0" w:tplc="F9721D36">
      <w:numFmt w:val="bullet"/>
      <w:lvlText w:val="•"/>
      <w:lvlJc w:val="left"/>
      <w:pPr>
        <w:ind w:left="360" w:hanging="360"/>
      </w:pPr>
      <w:rPr>
        <w:rFonts w:ascii="Calibri" w:eastAsiaTheme="minorHAnsi" w:hAnsi="Calibri" w:cs="Arial" w:hint="default"/>
      </w:rPr>
    </w:lvl>
    <w:lvl w:ilvl="1" w:tplc="F9721D36">
      <w:numFmt w:val="bullet"/>
      <w:lvlText w:val="•"/>
      <w:lvlJc w:val="left"/>
      <w:pPr>
        <w:ind w:left="1080" w:hanging="360"/>
      </w:pPr>
      <w:rPr>
        <w:rFonts w:ascii="Calibri" w:eastAsiaTheme="minorHAnsi" w:hAnsi="Calibri"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69FF24FA"/>
    <w:multiLevelType w:val="hybridMultilevel"/>
    <w:tmpl w:val="A1D87B8A"/>
    <w:lvl w:ilvl="0" w:tplc="F9721D36">
      <w:numFmt w:val="bullet"/>
      <w:lvlText w:val="•"/>
      <w:lvlJc w:val="left"/>
      <w:pPr>
        <w:ind w:left="360" w:hanging="360"/>
      </w:pPr>
      <w:rPr>
        <w:rFonts w:ascii="Calibri" w:eastAsiaTheme="minorHAnsi" w:hAnsi="Calibri" w:cs="Arial" w:hint="default"/>
      </w:rPr>
    </w:lvl>
    <w:lvl w:ilvl="1" w:tplc="F9721D36">
      <w:numFmt w:val="bullet"/>
      <w:lvlText w:val="•"/>
      <w:lvlJc w:val="left"/>
      <w:pPr>
        <w:ind w:left="1080" w:hanging="360"/>
      </w:pPr>
      <w:rPr>
        <w:rFonts w:ascii="Calibri" w:eastAsiaTheme="minorHAnsi" w:hAnsi="Calibri"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6FA13F1C"/>
    <w:multiLevelType w:val="hybridMultilevel"/>
    <w:tmpl w:val="417A4260"/>
    <w:lvl w:ilvl="0" w:tplc="0406000F">
      <w:start w:val="1"/>
      <w:numFmt w:val="decimal"/>
      <w:lvlText w:val="%1."/>
      <w:lvlJc w:val="left"/>
      <w:pPr>
        <w:ind w:left="720" w:hanging="360"/>
      </w:pPr>
      <w:rPr>
        <w:rFonts w:hint="default"/>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719475F"/>
    <w:multiLevelType w:val="hybridMultilevel"/>
    <w:tmpl w:val="E1D2DCB6"/>
    <w:lvl w:ilvl="0" w:tplc="EAAA2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012EED"/>
    <w:multiLevelType w:val="hybridMultilevel"/>
    <w:tmpl w:val="DF12346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92739"/>
    <w:multiLevelType w:val="singleLevel"/>
    <w:tmpl w:val="C44ADB72"/>
    <w:lvl w:ilvl="0">
      <w:start w:val="1"/>
      <w:numFmt w:val="decimal"/>
      <w:pStyle w:val="Afsnitsnr-UK"/>
      <w:lvlText w:val="%1"/>
      <w:lvlJc w:val="left"/>
      <w:pPr>
        <w:tabs>
          <w:tab w:val="num" w:pos="720"/>
        </w:tabs>
        <w:ind w:left="0" w:firstLine="0"/>
      </w:pPr>
      <w:rPr>
        <w:rFonts w:ascii="Georgia" w:hAnsi="Georgia" w:hint="default"/>
        <w:b w:val="0"/>
        <w:i w:val="0"/>
        <w:lang w:val="en-US"/>
      </w:rPr>
    </w:lvl>
  </w:abstractNum>
  <w:num w:numId="1">
    <w:abstractNumId w:val="25"/>
  </w:num>
  <w:num w:numId="2">
    <w:abstractNumId w:val="4"/>
  </w:num>
  <w:num w:numId="3">
    <w:abstractNumId w:val="0"/>
  </w:num>
  <w:num w:numId="4">
    <w:abstractNumId w:val="22"/>
  </w:num>
  <w:num w:numId="5">
    <w:abstractNumId w:val="13"/>
  </w:num>
  <w:num w:numId="6">
    <w:abstractNumId w:val="32"/>
  </w:num>
  <w:num w:numId="7">
    <w:abstractNumId w:val="23"/>
  </w:num>
  <w:num w:numId="8">
    <w:abstractNumId w:val="2"/>
  </w:num>
  <w:num w:numId="9">
    <w:abstractNumId w:val="6"/>
  </w:num>
  <w:num w:numId="10">
    <w:abstractNumId w:val="20"/>
  </w:num>
  <w:num w:numId="11">
    <w:abstractNumId w:val="34"/>
  </w:num>
  <w:num w:numId="12">
    <w:abstractNumId w:val="10"/>
  </w:num>
  <w:num w:numId="13">
    <w:abstractNumId w:val="15"/>
  </w:num>
  <w:num w:numId="14">
    <w:abstractNumId w:val="9"/>
  </w:num>
  <w:num w:numId="15">
    <w:abstractNumId w:val="24"/>
  </w:num>
  <w:num w:numId="16">
    <w:abstractNumId w:val="31"/>
  </w:num>
  <w:num w:numId="17">
    <w:abstractNumId w:val="30"/>
  </w:num>
  <w:num w:numId="18">
    <w:abstractNumId w:val="35"/>
  </w:num>
  <w:num w:numId="19">
    <w:abstractNumId w:val="26"/>
  </w:num>
  <w:num w:numId="20">
    <w:abstractNumId w:val="7"/>
  </w:num>
  <w:num w:numId="21">
    <w:abstractNumId w:val="3"/>
  </w:num>
  <w:num w:numId="22">
    <w:abstractNumId w:val="28"/>
  </w:num>
  <w:num w:numId="23">
    <w:abstractNumId w:val="8"/>
  </w:num>
  <w:num w:numId="24">
    <w:abstractNumId w:val="12"/>
  </w:num>
  <w:num w:numId="25">
    <w:abstractNumId w:val="11"/>
  </w:num>
  <w:num w:numId="26">
    <w:abstractNumId w:val="5"/>
  </w:num>
  <w:num w:numId="27">
    <w:abstractNumId w:val="29"/>
  </w:num>
  <w:num w:numId="28">
    <w:abstractNumId w:val="17"/>
  </w:num>
  <w:num w:numId="29">
    <w:abstractNumId w:val="21"/>
  </w:num>
  <w:num w:numId="30">
    <w:abstractNumId w:val="16"/>
  </w:num>
  <w:num w:numId="31">
    <w:abstractNumId w:val="33"/>
  </w:num>
  <w:num w:numId="32">
    <w:abstractNumId w:val="18"/>
  </w:num>
  <w:num w:numId="33">
    <w:abstractNumId w:val="27"/>
  </w:num>
  <w:num w:numId="34">
    <w:abstractNumId w:val="19"/>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2F"/>
    <w:rsid w:val="0000012C"/>
    <w:rsid w:val="00003FFC"/>
    <w:rsid w:val="0000650B"/>
    <w:rsid w:val="00013170"/>
    <w:rsid w:val="00013C7E"/>
    <w:rsid w:val="00015040"/>
    <w:rsid w:val="00015D2C"/>
    <w:rsid w:val="00024769"/>
    <w:rsid w:val="00026C03"/>
    <w:rsid w:val="00027DFF"/>
    <w:rsid w:val="00031C98"/>
    <w:rsid w:val="00034D03"/>
    <w:rsid w:val="00036709"/>
    <w:rsid w:val="0004750C"/>
    <w:rsid w:val="0005025F"/>
    <w:rsid w:val="000514E6"/>
    <w:rsid w:val="000566B2"/>
    <w:rsid w:val="000705C6"/>
    <w:rsid w:val="000747D8"/>
    <w:rsid w:val="00074D2F"/>
    <w:rsid w:val="000913ED"/>
    <w:rsid w:val="0009416F"/>
    <w:rsid w:val="000A07C6"/>
    <w:rsid w:val="000A405E"/>
    <w:rsid w:val="000A45AA"/>
    <w:rsid w:val="000A6BBA"/>
    <w:rsid w:val="000C30BB"/>
    <w:rsid w:val="000C538F"/>
    <w:rsid w:val="000C5A65"/>
    <w:rsid w:val="000D0437"/>
    <w:rsid w:val="000D4A81"/>
    <w:rsid w:val="000D4BFA"/>
    <w:rsid w:val="000E3F0A"/>
    <w:rsid w:val="000E441E"/>
    <w:rsid w:val="000E45EA"/>
    <w:rsid w:val="000E4F3B"/>
    <w:rsid w:val="000E5F71"/>
    <w:rsid w:val="000F3A81"/>
    <w:rsid w:val="000F42A6"/>
    <w:rsid w:val="001011FC"/>
    <w:rsid w:val="00101B49"/>
    <w:rsid w:val="00102C98"/>
    <w:rsid w:val="001035E3"/>
    <w:rsid w:val="001063C3"/>
    <w:rsid w:val="00106BFC"/>
    <w:rsid w:val="00112C42"/>
    <w:rsid w:val="00113821"/>
    <w:rsid w:val="00120A68"/>
    <w:rsid w:val="00121672"/>
    <w:rsid w:val="00122650"/>
    <w:rsid w:val="0012598D"/>
    <w:rsid w:val="00132D84"/>
    <w:rsid w:val="00134FC2"/>
    <w:rsid w:val="00141A50"/>
    <w:rsid w:val="00143F77"/>
    <w:rsid w:val="00145358"/>
    <w:rsid w:val="00155689"/>
    <w:rsid w:val="00161709"/>
    <w:rsid w:val="00161A68"/>
    <w:rsid w:val="00161B21"/>
    <w:rsid w:val="00163589"/>
    <w:rsid w:val="001647FF"/>
    <w:rsid w:val="00167749"/>
    <w:rsid w:val="00176A1E"/>
    <w:rsid w:val="0018038A"/>
    <w:rsid w:val="00181111"/>
    <w:rsid w:val="001811F8"/>
    <w:rsid w:val="00182AE6"/>
    <w:rsid w:val="00183D1E"/>
    <w:rsid w:val="001943EF"/>
    <w:rsid w:val="00194468"/>
    <w:rsid w:val="00194A3C"/>
    <w:rsid w:val="00195ED7"/>
    <w:rsid w:val="001A1DC8"/>
    <w:rsid w:val="001A1EB2"/>
    <w:rsid w:val="001A4CB1"/>
    <w:rsid w:val="001A6C3F"/>
    <w:rsid w:val="001B2FB2"/>
    <w:rsid w:val="001C078C"/>
    <w:rsid w:val="001E0186"/>
    <w:rsid w:val="001E0E6A"/>
    <w:rsid w:val="001E1342"/>
    <w:rsid w:val="001F4E7B"/>
    <w:rsid w:val="001F7883"/>
    <w:rsid w:val="002077DB"/>
    <w:rsid w:val="00207F98"/>
    <w:rsid w:val="002132EF"/>
    <w:rsid w:val="00217D49"/>
    <w:rsid w:val="002207D5"/>
    <w:rsid w:val="002228CF"/>
    <w:rsid w:val="00242295"/>
    <w:rsid w:val="0024527F"/>
    <w:rsid w:val="00247C2D"/>
    <w:rsid w:val="00247FE9"/>
    <w:rsid w:val="0025236C"/>
    <w:rsid w:val="002562DF"/>
    <w:rsid w:val="00261052"/>
    <w:rsid w:val="00263E33"/>
    <w:rsid w:val="00270C70"/>
    <w:rsid w:val="00275FC6"/>
    <w:rsid w:val="0027692B"/>
    <w:rsid w:val="0028632A"/>
    <w:rsid w:val="00287845"/>
    <w:rsid w:val="00287F7B"/>
    <w:rsid w:val="0029268A"/>
    <w:rsid w:val="00294E45"/>
    <w:rsid w:val="00295D77"/>
    <w:rsid w:val="002A0BEF"/>
    <w:rsid w:val="002A0D41"/>
    <w:rsid w:val="002A5B4F"/>
    <w:rsid w:val="002B49CB"/>
    <w:rsid w:val="002B5F94"/>
    <w:rsid w:val="002C527B"/>
    <w:rsid w:val="002C7198"/>
    <w:rsid w:val="002D16DF"/>
    <w:rsid w:val="002D27DB"/>
    <w:rsid w:val="002E0FE9"/>
    <w:rsid w:val="002E2CA7"/>
    <w:rsid w:val="002F091B"/>
    <w:rsid w:val="002F0AE8"/>
    <w:rsid w:val="002F20C2"/>
    <w:rsid w:val="002F41B3"/>
    <w:rsid w:val="002F4761"/>
    <w:rsid w:val="002F4FA9"/>
    <w:rsid w:val="00302C5A"/>
    <w:rsid w:val="00304342"/>
    <w:rsid w:val="0031048B"/>
    <w:rsid w:val="00310C1F"/>
    <w:rsid w:val="003120FC"/>
    <w:rsid w:val="00312D88"/>
    <w:rsid w:val="003218EC"/>
    <w:rsid w:val="00322A30"/>
    <w:rsid w:val="003244BE"/>
    <w:rsid w:val="003277CD"/>
    <w:rsid w:val="00332ED4"/>
    <w:rsid w:val="003333B5"/>
    <w:rsid w:val="00337A6B"/>
    <w:rsid w:val="00340AB4"/>
    <w:rsid w:val="0035781A"/>
    <w:rsid w:val="0036245C"/>
    <w:rsid w:val="00363921"/>
    <w:rsid w:val="00370399"/>
    <w:rsid w:val="00372B5C"/>
    <w:rsid w:val="003745DB"/>
    <w:rsid w:val="00376C9A"/>
    <w:rsid w:val="003819D0"/>
    <w:rsid w:val="00381BC8"/>
    <w:rsid w:val="00382FB8"/>
    <w:rsid w:val="00385910"/>
    <w:rsid w:val="003874B8"/>
    <w:rsid w:val="003910A1"/>
    <w:rsid w:val="003968C8"/>
    <w:rsid w:val="00396EDF"/>
    <w:rsid w:val="003A42C5"/>
    <w:rsid w:val="003A46FF"/>
    <w:rsid w:val="003A523C"/>
    <w:rsid w:val="003A65D0"/>
    <w:rsid w:val="003B121C"/>
    <w:rsid w:val="003B57AB"/>
    <w:rsid w:val="003C0202"/>
    <w:rsid w:val="003C4ABD"/>
    <w:rsid w:val="003D257F"/>
    <w:rsid w:val="003D286A"/>
    <w:rsid w:val="003D4A50"/>
    <w:rsid w:val="003D5901"/>
    <w:rsid w:val="003F18FC"/>
    <w:rsid w:val="003F2132"/>
    <w:rsid w:val="003F5026"/>
    <w:rsid w:val="003F5073"/>
    <w:rsid w:val="003F70A1"/>
    <w:rsid w:val="00407FE5"/>
    <w:rsid w:val="004141BB"/>
    <w:rsid w:val="0041717E"/>
    <w:rsid w:val="00417674"/>
    <w:rsid w:val="00422A52"/>
    <w:rsid w:val="00423F9D"/>
    <w:rsid w:val="00426EBB"/>
    <w:rsid w:val="004319EC"/>
    <w:rsid w:val="00434394"/>
    <w:rsid w:val="00441D77"/>
    <w:rsid w:val="00443B9A"/>
    <w:rsid w:val="00444B12"/>
    <w:rsid w:val="004545F2"/>
    <w:rsid w:val="0045567C"/>
    <w:rsid w:val="00455B0C"/>
    <w:rsid w:val="00466F8A"/>
    <w:rsid w:val="00467985"/>
    <w:rsid w:val="0047642C"/>
    <w:rsid w:val="00480E7C"/>
    <w:rsid w:val="00481C8E"/>
    <w:rsid w:val="004828C2"/>
    <w:rsid w:val="0048589E"/>
    <w:rsid w:val="00485F29"/>
    <w:rsid w:val="004A3610"/>
    <w:rsid w:val="004A3B61"/>
    <w:rsid w:val="004A6280"/>
    <w:rsid w:val="004B3605"/>
    <w:rsid w:val="004B6DFE"/>
    <w:rsid w:val="004C385B"/>
    <w:rsid w:val="004C7F6A"/>
    <w:rsid w:val="004D0BE6"/>
    <w:rsid w:val="004D2E8B"/>
    <w:rsid w:val="004E35DC"/>
    <w:rsid w:val="004E35F7"/>
    <w:rsid w:val="004E38A9"/>
    <w:rsid w:val="004E41E9"/>
    <w:rsid w:val="004E480E"/>
    <w:rsid w:val="004E4A0C"/>
    <w:rsid w:val="004F01A1"/>
    <w:rsid w:val="004F2519"/>
    <w:rsid w:val="004F28E4"/>
    <w:rsid w:val="004F2E6B"/>
    <w:rsid w:val="004F2EA9"/>
    <w:rsid w:val="004F6A2E"/>
    <w:rsid w:val="004F6DFA"/>
    <w:rsid w:val="00501235"/>
    <w:rsid w:val="00512967"/>
    <w:rsid w:val="00516F55"/>
    <w:rsid w:val="00521A13"/>
    <w:rsid w:val="00522AD0"/>
    <w:rsid w:val="00523203"/>
    <w:rsid w:val="00524122"/>
    <w:rsid w:val="005245D8"/>
    <w:rsid w:val="005304B2"/>
    <w:rsid w:val="00530818"/>
    <w:rsid w:val="005328A6"/>
    <w:rsid w:val="00533C68"/>
    <w:rsid w:val="00540EE1"/>
    <w:rsid w:val="00546805"/>
    <w:rsid w:val="0055161A"/>
    <w:rsid w:val="00555EA1"/>
    <w:rsid w:val="00562A9F"/>
    <w:rsid w:val="00565178"/>
    <w:rsid w:val="005658DE"/>
    <w:rsid w:val="005856B9"/>
    <w:rsid w:val="005872CE"/>
    <w:rsid w:val="005931C0"/>
    <w:rsid w:val="005953C2"/>
    <w:rsid w:val="00596312"/>
    <w:rsid w:val="005A3ECB"/>
    <w:rsid w:val="005A6C08"/>
    <w:rsid w:val="005A72BE"/>
    <w:rsid w:val="005B1EF0"/>
    <w:rsid w:val="005B2971"/>
    <w:rsid w:val="005B3BCC"/>
    <w:rsid w:val="005B6A44"/>
    <w:rsid w:val="005C177B"/>
    <w:rsid w:val="005C1838"/>
    <w:rsid w:val="005C2DE2"/>
    <w:rsid w:val="005C5F81"/>
    <w:rsid w:val="005D1BAB"/>
    <w:rsid w:val="005D1C47"/>
    <w:rsid w:val="005E2360"/>
    <w:rsid w:val="005E609A"/>
    <w:rsid w:val="005E6F27"/>
    <w:rsid w:val="005F083A"/>
    <w:rsid w:val="005F251C"/>
    <w:rsid w:val="005F656D"/>
    <w:rsid w:val="00606C01"/>
    <w:rsid w:val="0061217D"/>
    <w:rsid w:val="00621F3C"/>
    <w:rsid w:val="00623816"/>
    <w:rsid w:val="006265A3"/>
    <w:rsid w:val="00627552"/>
    <w:rsid w:val="006323E3"/>
    <w:rsid w:val="00633C3E"/>
    <w:rsid w:val="00636232"/>
    <w:rsid w:val="0063744F"/>
    <w:rsid w:val="00637497"/>
    <w:rsid w:val="00637FDB"/>
    <w:rsid w:val="0064255A"/>
    <w:rsid w:val="00647BD1"/>
    <w:rsid w:val="006549A8"/>
    <w:rsid w:val="00661F98"/>
    <w:rsid w:val="0066253F"/>
    <w:rsid w:val="0066485A"/>
    <w:rsid w:val="00665AD4"/>
    <w:rsid w:val="0066699B"/>
    <w:rsid w:val="00671789"/>
    <w:rsid w:val="00672CCC"/>
    <w:rsid w:val="00676444"/>
    <w:rsid w:val="00680D51"/>
    <w:rsid w:val="00682F18"/>
    <w:rsid w:val="006854C4"/>
    <w:rsid w:val="00685689"/>
    <w:rsid w:val="00690969"/>
    <w:rsid w:val="006A133A"/>
    <w:rsid w:val="006B61D2"/>
    <w:rsid w:val="006B7F33"/>
    <w:rsid w:val="006C0D89"/>
    <w:rsid w:val="006C36E3"/>
    <w:rsid w:val="006C577D"/>
    <w:rsid w:val="006D1791"/>
    <w:rsid w:val="006D32AD"/>
    <w:rsid w:val="006E1B83"/>
    <w:rsid w:val="006E2FE9"/>
    <w:rsid w:val="006E322A"/>
    <w:rsid w:val="006F0B27"/>
    <w:rsid w:val="006F3649"/>
    <w:rsid w:val="006F711F"/>
    <w:rsid w:val="006F7F25"/>
    <w:rsid w:val="00702DD7"/>
    <w:rsid w:val="007050B5"/>
    <w:rsid w:val="007052DD"/>
    <w:rsid w:val="007052E0"/>
    <w:rsid w:val="00705E35"/>
    <w:rsid w:val="00710BB7"/>
    <w:rsid w:val="00713927"/>
    <w:rsid w:val="00721A99"/>
    <w:rsid w:val="0072732C"/>
    <w:rsid w:val="00742969"/>
    <w:rsid w:val="00752FF2"/>
    <w:rsid w:val="00753B50"/>
    <w:rsid w:val="00755918"/>
    <w:rsid w:val="00755BDE"/>
    <w:rsid w:val="00761186"/>
    <w:rsid w:val="00764790"/>
    <w:rsid w:val="007670D0"/>
    <w:rsid w:val="0078629C"/>
    <w:rsid w:val="00794665"/>
    <w:rsid w:val="007966FD"/>
    <w:rsid w:val="007B444B"/>
    <w:rsid w:val="007B49D0"/>
    <w:rsid w:val="007C018A"/>
    <w:rsid w:val="007C041C"/>
    <w:rsid w:val="007C1CEC"/>
    <w:rsid w:val="007C3886"/>
    <w:rsid w:val="007E6682"/>
    <w:rsid w:val="00802CB1"/>
    <w:rsid w:val="0080543C"/>
    <w:rsid w:val="008070A9"/>
    <w:rsid w:val="00807405"/>
    <w:rsid w:val="008134C9"/>
    <w:rsid w:val="00814757"/>
    <w:rsid w:val="00815F3B"/>
    <w:rsid w:val="00820B44"/>
    <w:rsid w:val="00832F6B"/>
    <w:rsid w:val="00834097"/>
    <w:rsid w:val="00834615"/>
    <w:rsid w:val="00841564"/>
    <w:rsid w:val="00843EFE"/>
    <w:rsid w:val="00853BF8"/>
    <w:rsid w:val="00854549"/>
    <w:rsid w:val="00855F49"/>
    <w:rsid w:val="00867F53"/>
    <w:rsid w:val="00870CAF"/>
    <w:rsid w:val="00877011"/>
    <w:rsid w:val="00884358"/>
    <w:rsid w:val="00886B27"/>
    <w:rsid w:val="00894146"/>
    <w:rsid w:val="008A5E1E"/>
    <w:rsid w:val="008A7B73"/>
    <w:rsid w:val="008B63AD"/>
    <w:rsid w:val="008C5D07"/>
    <w:rsid w:val="008D0F62"/>
    <w:rsid w:val="008D1931"/>
    <w:rsid w:val="008D1E27"/>
    <w:rsid w:val="008D3E76"/>
    <w:rsid w:val="008D5552"/>
    <w:rsid w:val="008E2014"/>
    <w:rsid w:val="008E2126"/>
    <w:rsid w:val="008E7834"/>
    <w:rsid w:val="008F08AE"/>
    <w:rsid w:val="0091035A"/>
    <w:rsid w:val="00910EBA"/>
    <w:rsid w:val="00915089"/>
    <w:rsid w:val="00915870"/>
    <w:rsid w:val="00920707"/>
    <w:rsid w:val="00923154"/>
    <w:rsid w:val="0093289F"/>
    <w:rsid w:val="00935297"/>
    <w:rsid w:val="009353A4"/>
    <w:rsid w:val="00941060"/>
    <w:rsid w:val="009452DE"/>
    <w:rsid w:val="00947345"/>
    <w:rsid w:val="0095519A"/>
    <w:rsid w:val="00967FA2"/>
    <w:rsid w:val="0097723E"/>
    <w:rsid w:val="00983869"/>
    <w:rsid w:val="00983D4D"/>
    <w:rsid w:val="0098527A"/>
    <w:rsid w:val="0099772B"/>
    <w:rsid w:val="009A19B8"/>
    <w:rsid w:val="009B3B6E"/>
    <w:rsid w:val="009B3C60"/>
    <w:rsid w:val="009B52F9"/>
    <w:rsid w:val="009C112E"/>
    <w:rsid w:val="009C43AE"/>
    <w:rsid w:val="009C52DD"/>
    <w:rsid w:val="009C67E8"/>
    <w:rsid w:val="009D7FA0"/>
    <w:rsid w:val="009F7F06"/>
    <w:rsid w:val="00A02480"/>
    <w:rsid w:val="00A16F9C"/>
    <w:rsid w:val="00A17FEA"/>
    <w:rsid w:val="00A22AF5"/>
    <w:rsid w:val="00A27979"/>
    <w:rsid w:val="00A31FF4"/>
    <w:rsid w:val="00A332F2"/>
    <w:rsid w:val="00A40AC9"/>
    <w:rsid w:val="00A454B8"/>
    <w:rsid w:val="00A50179"/>
    <w:rsid w:val="00A6061E"/>
    <w:rsid w:val="00A71153"/>
    <w:rsid w:val="00A73D7A"/>
    <w:rsid w:val="00A77369"/>
    <w:rsid w:val="00A82C18"/>
    <w:rsid w:val="00A8750D"/>
    <w:rsid w:val="00A915F0"/>
    <w:rsid w:val="00A94C0F"/>
    <w:rsid w:val="00AA3A53"/>
    <w:rsid w:val="00AA55D6"/>
    <w:rsid w:val="00AB227B"/>
    <w:rsid w:val="00AC4A75"/>
    <w:rsid w:val="00AC6D4E"/>
    <w:rsid w:val="00AD0FF1"/>
    <w:rsid w:val="00AD1E60"/>
    <w:rsid w:val="00AD319B"/>
    <w:rsid w:val="00AF06D2"/>
    <w:rsid w:val="00AF07C5"/>
    <w:rsid w:val="00AF27F6"/>
    <w:rsid w:val="00B00E6F"/>
    <w:rsid w:val="00B042E8"/>
    <w:rsid w:val="00B06CA9"/>
    <w:rsid w:val="00B12BBD"/>
    <w:rsid w:val="00B14649"/>
    <w:rsid w:val="00B1616B"/>
    <w:rsid w:val="00B24AC6"/>
    <w:rsid w:val="00B258E9"/>
    <w:rsid w:val="00B26F40"/>
    <w:rsid w:val="00B30F15"/>
    <w:rsid w:val="00B31051"/>
    <w:rsid w:val="00B3140D"/>
    <w:rsid w:val="00B36FBD"/>
    <w:rsid w:val="00B37E34"/>
    <w:rsid w:val="00B42454"/>
    <w:rsid w:val="00B47AC9"/>
    <w:rsid w:val="00B50F7E"/>
    <w:rsid w:val="00B534D2"/>
    <w:rsid w:val="00B578C0"/>
    <w:rsid w:val="00B719B2"/>
    <w:rsid w:val="00B80F0A"/>
    <w:rsid w:val="00B823B2"/>
    <w:rsid w:val="00B87A96"/>
    <w:rsid w:val="00B90B28"/>
    <w:rsid w:val="00B91DA8"/>
    <w:rsid w:val="00B922EC"/>
    <w:rsid w:val="00BA1C93"/>
    <w:rsid w:val="00BA219C"/>
    <w:rsid w:val="00BB2DAB"/>
    <w:rsid w:val="00BB46BE"/>
    <w:rsid w:val="00BB7073"/>
    <w:rsid w:val="00BC1A27"/>
    <w:rsid w:val="00BC6BC7"/>
    <w:rsid w:val="00BD2BFC"/>
    <w:rsid w:val="00BD2C69"/>
    <w:rsid w:val="00BD6633"/>
    <w:rsid w:val="00BE1A0E"/>
    <w:rsid w:val="00BF0C21"/>
    <w:rsid w:val="00BF0E08"/>
    <w:rsid w:val="00BF6995"/>
    <w:rsid w:val="00C01CB1"/>
    <w:rsid w:val="00C038A7"/>
    <w:rsid w:val="00C03F55"/>
    <w:rsid w:val="00C227AB"/>
    <w:rsid w:val="00C30074"/>
    <w:rsid w:val="00C30AFA"/>
    <w:rsid w:val="00C30F07"/>
    <w:rsid w:val="00C31723"/>
    <w:rsid w:val="00C4216F"/>
    <w:rsid w:val="00C42F7B"/>
    <w:rsid w:val="00C437BD"/>
    <w:rsid w:val="00C43D2D"/>
    <w:rsid w:val="00C512C4"/>
    <w:rsid w:val="00C538E5"/>
    <w:rsid w:val="00C55347"/>
    <w:rsid w:val="00C613E1"/>
    <w:rsid w:val="00C62C39"/>
    <w:rsid w:val="00C62DE9"/>
    <w:rsid w:val="00C64F76"/>
    <w:rsid w:val="00C7608B"/>
    <w:rsid w:val="00C82FA3"/>
    <w:rsid w:val="00C82FF1"/>
    <w:rsid w:val="00C84D1B"/>
    <w:rsid w:val="00C87495"/>
    <w:rsid w:val="00C95769"/>
    <w:rsid w:val="00CA051D"/>
    <w:rsid w:val="00CA18AC"/>
    <w:rsid w:val="00CA7BDA"/>
    <w:rsid w:val="00CC1420"/>
    <w:rsid w:val="00CC2B50"/>
    <w:rsid w:val="00CD1ADA"/>
    <w:rsid w:val="00CD3067"/>
    <w:rsid w:val="00CE06E7"/>
    <w:rsid w:val="00CE23B7"/>
    <w:rsid w:val="00CE4C9F"/>
    <w:rsid w:val="00CE54B9"/>
    <w:rsid w:val="00CF12EA"/>
    <w:rsid w:val="00CF62FE"/>
    <w:rsid w:val="00CF6F4A"/>
    <w:rsid w:val="00D01DB2"/>
    <w:rsid w:val="00D05479"/>
    <w:rsid w:val="00D0640C"/>
    <w:rsid w:val="00D06CCC"/>
    <w:rsid w:val="00D133B5"/>
    <w:rsid w:val="00D13E9F"/>
    <w:rsid w:val="00D149EA"/>
    <w:rsid w:val="00D202DD"/>
    <w:rsid w:val="00D2111B"/>
    <w:rsid w:val="00D21EB8"/>
    <w:rsid w:val="00D22E43"/>
    <w:rsid w:val="00D23D11"/>
    <w:rsid w:val="00D314DA"/>
    <w:rsid w:val="00D34541"/>
    <w:rsid w:val="00D34795"/>
    <w:rsid w:val="00D449FE"/>
    <w:rsid w:val="00D46F43"/>
    <w:rsid w:val="00D53EDB"/>
    <w:rsid w:val="00D57045"/>
    <w:rsid w:val="00D606DD"/>
    <w:rsid w:val="00D612A5"/>
    <w:rsid w:val="00D63B86"/>
    <w:rsid w:val="00D66BD5"/>
    <w:rsid w:val="00D67582"/>
    <w:rsid w:val="00D8216D"/>
    <w:rsid w:val="00D830E9"/>
    <w:rsid w:val="00D834D6"/>
    <w:rsid w:val="00D862E9"/>
    <w:rsid w:val="00D86CA6"/>
    <w:rsid w:val="00D9341F"/>
    <w:rsid w:val="00DA19F4"/>
    <w:rsid w:val="00DA7634"/>
    <w:rsid w:val="00DB4223"/>
    <w:rsid w:val="00DC38F5"/>
    <w:rsid w:val="00DC4417"/>
    <w:rsid w:val="00DD4EA0"/>
    <w:rsid w:val="00DE57AE"/>
    <w:rsid w:val="00DF194F"/>
    <w:rsid w:val="00E00177"/>
    <w:rsid w:val="00E01511"/>
    <w:rsid w:val="00E13576"/>
    <w:rsid w:val="00E14428"/>
    <w:rsid w:val="00E221CF"/>
    <w:rsid w:val="00E23696"/>
    <w:rsid w:val="00E23F3C"/>
    <w:rsid w:val="00E25A74"/>
    <w:rsid w:val="00E30262"/>
    <w:rsid w:val="00E324EB"/>
    <w:rsid w:val="00E34D3D"/>
    <w:rsid w:val="00E412C7"/>
    <w:rsid w:val="00E500F9"/>
    <w:rsid w:val="00E53D3E"/>
    <w:rsid w:val="00E5625A"/>
    <w:rsid w:val="00E6166E"/>
    <w:rsid w:val="00E628D6"/>
    <w:rsid w:val="00E70104"/>
    <w:rsid w:val="00E71C50"/>
    <w:rsid w:val="00E74125"/>
    <w:rsid w:val="00E76AAD"/>
    <w:rsid w:val="00E831C7"/>
    <w:rsid w:val="00E94670"/>
    <w:rsid w:val="00EA34D4"/>
    <w:rsid w:val="00EA533C"/>
    <w:rsid w:val="00EA6509"/>
    <w:rsid w:val="00EA67DF"/>
    <w:rsid w:val="00EB243B"/>
    <w:rsid w:val="00EB3B58"/>
    <w:rsid w:val="00EB6AC0"/>
    <w:rsid w:val="00EC4277"/>
    <w:rsid w:val="00ED0BCB"/>
    <w:rsid w:val="00ED0E3C"/>
    <w:rsid w:val="00ED2604"/>
    <w:rsid w:val="00ED4731"/>
    <w:rsid w:val="00ED65F5"/>
    <w:rsid w:val="00EE3BFA"/>
    <w:rsid w:val="00F0179F"/>
    <w:rsid w:val="00F07EF5"/>
    <w:rsid w:val="00F17F66"/>
    <w:rsid w:val="00F31F11"/>
    <w:rsid w:val="00F36392"/>
    <w:rsid w:val="00F512E7"/>
    <w:rsid w:val="00F5362F"/>
    <w:rsid w:val="00F53F95"/>
    <w:rsid w:val="00F611A4"/>
    <w:rsid w:val="00F65C36"/>
    <w:rsid w:val="00F70042"/>
    <w:rsid w:val="00F72D42"/>
    <w:rsid w:val="00F90642"/>
    <w:rsid w:val="00F9201D"/>
    <w:rsid w:val="00FA01AB"/>
    <w:rsid w:val="00FA12B7"/>
    <w:rsid w:val="00FA411A"/>
    <w:rsid w:val="00FA6CBD"/>
    <w:rsid w:val="00FB05F8"/>
    <w:rsid w:val="00FB2F68"/>
    <w:rsid w:val="00FB3740"/>
    <w:rsid w:val="00FB69E8"/>
    <w:rsid w:val="00FD3961"/>
    <w:rsid w:val="00FE04DF"/>
    <w:rsid w:val="00FE1281"/>
    <w:rsid w:val="00FE4BBC"/>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F62"/>
    <w:pPr>
      <w:keepNext/>
      <w:keepLines/>
      <w:spacing w:before="480" w:after="0"/>
      <w:outlineLvl w:val="0"/>
    </w:pPr>
    <w:rPr>
      <w:rFonts w:asciiTheme="majorHAnsi" w:eastAsiaTheme="majorEastAsia" w:hAnsiTheme="majorHAnsi" w:cstheme="majorBidi"/>
      <w:b/>
      <w:bCs/>
      <w:color w:val="365F91" w:themeColor="accent1" w:themeShade="BF"/>
      <w:sz w:val="28"/>
      <w:szCs w:val="28"/>
      <w:lang w:val="da-DK" w:eastAsia="da-DK"/>
    </w:rPr>
  </w:style>
  <w:style w:type="paragraph" w:styleId="Heading2">
    <w:name w:val="heading 2"/>
    <w:basedOn w:val="Normal"/>
    <w:next w:val="Normal"/>
    <w:link w:val="Heading2Char"/>
    <w:uiPriority w:val="9"/>
    <w:unhideWhenUsed/>
    <w:qFormat/>
    <w:rsid w:val="008D0F62"/>
    <w:pPr>
      <w:keepNext/>
      <w:keepLines/>
      <w:spacing w:before="200" w:after="0"/>
      <w:outlineLvl w:val="1"/>
    </w:pPr>
    <w:rPr>
      <w:rFonts w:asciiTheme="majorHAnsi" w:eastAsiaTheme="majorEastAsia" w:hAnsiTheme="majorHAnsi" w:cstheme="majorBidi"/>
      <w:b/>
      <w:bCs/>
      <w:color w:val="4F81BD" w:themeColor="accent1"/>
      <w:sz w:val="26"/>
      <w:szCs w:val="26"/>
      <w:lang w:val="da-DK" w:eastAsia="da-DK"/>
    </w:rPr>
  </w:style>
  <w:style w:type="paragraph" w:styleId="Heading3">
    <w:name w:val="heading 3"/>
    <w:basedOn w:val="Normal"/>
    <w:next w:val="Normal"/>
    <w:link w:val="Heading3Char"/>
    <w:uiPriority w:val="9"/>
    <w:semiHidden/>
    <w:unhideWhenUsed/>
    <w:qFormat/>
    <w:rsid w:val="00EE3B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2F"/>
    <w:rPr>
      <w:rFonts w:ascii="Tahoma" w:hAnsi="Tahoma" w:cs="Tahoma"/>
      <w:sz w:val="16"/>
      <w:szCs w:val="16"/>
    </w:rPr>
  </w:style>
  <w:style w:type="paragraph" w:styleId="Header">
    <w:name w:val="header"/>
    <w:basedOn w:val="Normal"/>
    <w:link w:val="HeaderChar"/>
    <w:unhideWhenUsed/>
    <w:rsid w:val="00F5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2F"/>
  </w:style>
  <w:style w:type="paragraph" w:styleId="Footer">
    <w:name w:val="footer"/>
    <w:basedOn w:val="Normal"/>
    <w:link w:val="FooterChar"/>
    <w:uiPriority w:val="99"/>
    <w:unhideWhenUsed/>
    <w:rsid w:val="00F5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2F"/>
  </w:style>
  <w:style w:type="paragraph" w:styleId="ListParagraph">
    <w:name w:val="List Paragraph"/>
    <w:basedOn w:val="Normal"/>
    <w:link w:val="ListParagraphChar"/>
    <w:uiPriority w:val="34"/>
    <w:qFormat/>
    <w:rsid w:val="00026C03"/>
    <w:pPr>
      <w:spacing w:after="0" w:line="240" w:lineRule="auto"/>
      <w:ind w:left="720"/>
      <w:contextualSpacing/>
    </w:pPr>
    <w:rPr>
      <w:lang w:val="en-GB"/>
    </w:rPr>
  </w:style>
  <w:style w:type="character" w:styleId="Strong">
    <w:name w:val="Strong"/>
    <w:basedOn w:val="DefaultParagraphFont"/>
    <w:uiPriority w:val="22"/>
    <w:qFormat/>
    <w:rsid w:val="00026C03"/>
    <w:rPr>
      <w:b/>
      <w:bCs/>
    </w:rPr>
  </w:style>
  <w:style w:type="paragraph" w:styleId="NormalWeb">
    <w:name w:val="Normal (Web)"/>
    <w:basedOn w:val="Normal"/>
    <w:uiPriority w:val="99"/>
    <w:semiHidden/>
    <w:unhideWhenUsed/>
    <w:rsid w:val="00026C03"/>
    <w:pPr>
      <w:spacing w:before="100" w:beforeAutospacing="1" w:after="100" w:afterAutospacing="1" w:line="240" w:lineRule="auto"/>
    </w:pPr>
    <w:rPr>
      <w:rFonts w:ascii="Times New Roman" w:hAnsi="Times New Roman" w:cs="Times New Roman"/>
      <w:sz w:val="24"/>
      <w:szCs w:val="24"/>
      <w:lang w:val="da-DK" w:eastAsia="da-DK"/>
    </w:rPr>
  </w:style>
  <w:style w:type="character" w:customStyle="1" w:styleId="Heading1Char">
    <w:name w:val="Heading 1 Char"/>
    <w:basedOn w:val="DefaultParagraphFont"/>
    <w:link w:val="Heading1"/>
    <w:uiPriority w:val="9"/>
    <w:rsid w:val="008D0F62"/>
    <w:rPr>
      <w:rFonts w:asciiTheme="majorHAnsi" w:eastAsiaTheme="majorEastAsia" w:hAnsiTheme="majorHAnsi" w:cstheme="majorBidi"/>
      <w:b/>
      <w:bCs/>
      <w:color w:val="365F91" w:themeColor="accent1" w:themeShade="BF"/>
      <w:sz w:val="28"/>
      <w:szCs w:val="28"/>
      <w:lang w:val="da-DK" w:eastAsia="da-DK"/>
    </w:rPr>
  </w:style>
  <w:style w:type="character" w:customStyle="1" w:styleId="Heading2Char">
    <w:name w:val="Heading 2 Char"/>
    <w:basedOn w:val="DefaultParagraphFont"/>
    <w:link w:val="Heading2"/>
    <w:uiPriority w:val="9"/>
    <w:rsid w:val="008D0F62"/>
    <w:rPr>
      <w:rFonts w:asciiTheme="majorHAnsi" w:eastAsiaTheme="majorEastAsia" w:hAnsiTheme="majorHAnsi" w:cstheme="majorBidi"/>
      <w:b/>
      <w:bCs/>
      <w:color w:val="4F81BD" w:themeColor="accent1"/>
      <w:sz w:val="26"/>
      <w:szCs w:val="26"/>
      <w:lang w:val="da-DK" w:eastAsia="da-DK"/>
    </w:rPr>
  </w:style>
  <w:style w:type="paragraph" w:styleId="Subtitle">
    <w:name w:val="Subtitle"/>
    <w:basedOn w:val="Normal"/>
    <w:next w:val="Normal"/>
    <w:link w:val="SubtitleChar"/>
    <w:uiPriority w:val="11"/>
    <w:qFormat/>
    <w:rsid w:val="008D0F62"/>
    <w:pPr>
      <w:numPr>
        <w:ilvl w:val="1"/>
      </w:numPr>
    </w:pPr>
    <w:rPr>
      <w:rFonts w:asciiTheme="majorHAnsi" w:eastAsiaTheme="majorEastAsia" w:hAnsiTheme="majorHAnsi" w:cstheme="majorBidi"/>
      <w:i/>
      <w:iCs/>
      <w:color w:val="4F81BD" w:themeColor="accent1"/>
      <w:spacing w:val="15"/>
      <w:sz w:val="24"/>
      <w:szCs w:val="24"/>
      <w:lang w:val="da-DK" w:eastAsia="da-DK"/>
    </w:rPr>
  </w:style>
  <w:style w:type="character" w:customStyle="1" w:styleId="SubtitleChar">
    <w:name w:val="Subtitle Char"/>
    <w:basedOn w:val="DefaultParagraphFont"/>
    <w:link w:val="Subtitle"/>
    <w:uiPriority w:val="11"/>
    <w:rsid w:val="008D0F62"/>
    <w:rPr>
      <w:rFonts w:asciiTheme="majorHAnsi" w:eastAsiaTheme="majorEastAsia" w:hAnsiTheme="majorHAnsi" w:cstheme="majorBidi"/>
      <w:i/>
      <w:iCs/>
      <w:color w:val="4F81BD" w:themeColor="accent1"/>
      <w:spacing w:val="15"/>
      <w:sz w:val="24"/>
      <w:szCs w:val="24"/>
      <w:lang w:val="da-DK" w:eastAsia="da-DK"/>
    </w:rPr>
  </w:style>
  <w:style w:type="paragraph" w:styleId="TOCHeading">
    <w:name w:val="TOC Heading"/>
    <w:basedOn w:val="Heading1"/>
    <w:next w:val="Normal"/>
    <w:uiPriority w:val="39"/>
    <w:semiHidden/>
    <w:unhideWhenUsed/>
    <w:qFormat/>
    <w:rsid w:val="008D0F62"/>
    <w:pPr>
      <w:outlineLvl w:val="9"/>
    </w:pPr>
    <w:rPr>
      <w:lang w:val="en-US"/>
    </w:rPr>
  </w:style>
  <w:style w:type="paragraph" w:styleId="TOC1">
    <w:name w:val="toc 1"/>
    <w:basedOn w:val="Normal"/>
    <w:next w:val="Normal"/>
    <w:autoRedefine/>
    <w:uiPriority w:val="39"/>
    <w:unhideWhenUsed/>
    <w:rsid w:val="008D0F62"/>
    <w:pPr>
      <w:spacing w:after="100"/>
    </w:pPr>
    <w:rPr>
      <w:rFonts w:eastAsiaTheme="minorEastAsia"/>
      <w:lang w:val="da-DK" w:eastAsia="da-DK"/>
    </w:rPr>
  </w:style>
  <w:style w:type="character" w:styleId="Hyperlink">
    <w:name w:val="Hyperlink"/>
    <w:basedOn w:val="DefaultParagraphFont"/>
    <w:uiPriority w:val="99"/>
    <w:unhideWhenUsed/>
    <w:rsid w:val="008D0F62"/>
    <w:rPr>
      <w:color w:val="0000FF" w:themeColor="hyperlink"/>
      <w:u w:val="single"/>
    </w:rPr>
  </w:style>
  <w:style w:type="paragraph" w:customStyle="1" w:styleId="Afsnitsnr-UK">
    <w:name w:val="Afsnitsnr.-UK"/>
    <w:basedOn w:val="Normal"/>
    <w:rsid w:val="000F42A6"/>
    <w:pPr>
      <w:numPr>
        <w:numId w:val="18"/>
      </w:numPr>
      <w:spacing w:after="290" w:line="240" w:lineRule="atLeast"/>
    </w:pPr>
    <w:rPr>
      <w:rFonts w:ascii="Georgia" w:eastAsia="Times New Roman" w:hAnsi="Georgia" w:cs="Times New Roman"/>
      <w:sz w:val="20"/>
      <w:szCs w:val="20"/>
      <w:lang w:val="en-GB"/>
    </w:rPr>
  </w:style>
  <w:style w:type="character" w:customStyle="1" w:styleId="TextMainCharCharCharCharChar">
    <w:name w:val="Text Main Char Char Char Char Char"/>
    <w:link w:val="TextMainCharCharCharChar"/>
    <w:uiPriority w:val="99"/>
    <w:locked/>
    <w:rsid w:val="00EE3BFA"/>
    <w:rPr>
      <w:rFonts w:ascii="Verdana" w:eastAsia="Times New Roman" w:hAnsi="Verdana" w:cs="Arial"/>
      <w:color w:val="000000"/>
      <w:sz w:val="16"/>
      <w:szCs w:val="16"/>
    </w:rPr>
  </w:style>
  <w:style w:type="paragraph" w:customStyle="1" w:styleId="TextMainCharCharCharChar">
    <w:name w:val="Text Main Char Char Char Char"/>
    <w:basedOn w:val="Normal"/>
    <w:link w:val="TextMainCharCharCharCharChar"/>
    <w:uiPriority w:val="99"/>
    <w:rsid w:val="00EE3BFA"/>
    <w:pPr>
      <w:widowControl w:val="0"/>
      <w:adjustRightInd w:val="0"/>
      <w:snapToGrid w:val="0"/>
      <w:spacing w:after="240" w:line="360" w:lineRule="atLeast"/>
      <w:jc w:val="both"/>
    </w:pPr>
    <w:rPr>
      <w:rFonts w:ascii="Verdana" w:eastAsia="Times New Roman" w:hAnsi="Verdana" w:cs="Arial"/>
      <w:color w:val="000000"/>
      <w:sz w:val="16"/>
      <w:szCs w:val="16"/>
    </w:rPr>
  </w:style>
  <w:style w:type="character" w:customStyle="1" w:styleId="Heading3Char">
    <w:name w:val="Heading 3 Char"/>
    <w:basedOn w:val="DefaultParagraphFont"/>
    <w:link w:val="Heading3"/>
    <w:uiPriority w:val="9"/>
    <w:semiHidden/>
    <w:rsid w:val="00EE3BFA"/>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EE3BFA"/>
    <w:rPr>
      <w:lang w:val="en-GB"/>
    </w:rPr>
  </w:style>
  <w:style w:type="paragraph" w:customStyle="1" w:styleId="TextMain">
    <w:name w:val="Text Main"/>
    <w:basedOn w:val="Normal"/>
    <w:uiPriority w:val="99"/>
    <w:rsid w:val="00EE3BFA"/>
    <w:pPr>
      <w:widowControl w:val="0"/>
      <w:adjustRightInd w:val="0"/>
      <w:snapToGrid w:val="0"/>
      <w:spacing w:after="240" w:line="360" w:lineRule="atLeast"/>
      <w:jc w:val="both"/>
    </w:pPr>
    <w:rPr>
      <w:rFonts w:ascii="Verdana" w:eastAsia="Times New Roman" w:hAnsi="Verdana" w:cs="Arial"/>
      <w:color w:val="000000"/>
      <w:sz w:val="18"/>
      <w:szCs w:val="16"/>
    </w:rPr>
  </w:style>
  <w:style w:type="paragraph" w:customStyle="1" w:styleId="BulletMain">
    <w:name w:val="Bullet Main"/>
    <w:basedOn w:val="Normal"/>
    <w:rsid w:val="00C62C39"/>
    <w:pPr>
      <w:widowControl w:val="0"/>
      <w:numPr>
        <w:numId w:val="34"/>
      </w:numPr>
      <w:autoSpaceDE w:val="0"/>
      <w:autoSpaceDN w:val="0"/>
      <w:adjustRightInd w:val="0"/>
      <w:spacing w:after="240" w:line="360" w:lineRule="atLeast"/>
      <w:jc w:val="both"/>
      <w:textAlignment w:val="baseline"/>
    </w:pPr>
    <w:rPr>
      <w:rFonts w:ascii="Verdana" w:eastAsia="Times New Roman" w:hAnsi="Verdana" w:cs="Arial"/>
      <w:sz w:val="18"/>
      <w:szCs w:val="18"/>
      <w:lang w:val="en-GB"/>
    </w:rPr>
  </w:style>
  <w:style w:type="paragraph" w:customStyle="1" w:styleId="Afsnitsnr">
    <w:name w:val="Afsnitsnr."/>
    <w:basedOn w:val="Normal"/>
    <w:rsid w:val="001647FF"/>
    <w:pPr>
      <w:spacing w:after="290" w:line="240" w:lineRule="atLeast"/>
    </w:pPr>
    <w:rPr>
      <w:rFonts w:ascii="Georgia" w:eastAsia="Times New Roman" w:hAnsi="Georgia" w:cs="Times New Roman"/>
      <w:sz w:val="20"/>
      <w:szCs w:val="2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F62"/>
    <w:pPr>
      <w:keepNext/>
      <w:keepLines/>
      <w:spacing w:before="480" w:after="0"/>
      <w:outlineLvl w:val="0"/>
    </w:pPr>
    <w:rPr>
      <w:rFonts w:asciiTheme="majorHAnsi" w:eastAsiaTheme="majorEastAsia" w:hAnsiTheme="majorHAnsi" w:cstheme="majorBidi"/>
      <w:b/>
      <w:bCs/>
      <w:color w:val="365F91" w:themeColor="accent1" w:themeShade="BF"/>
      <w:sz w:val="28"/>
      <w:szCs w:val="28"/>
      <w:lang w:val="da-DK" w:eastAsia="da-DK"/>
    </w:rPr>
  </w:style>
  <w:style w:type="paragraph" w:styleId="Heading2">
    <w:name w:val="heading 2"/>
    <w:basedOn w:val="Normal"/>
    <w:next w:val="Normal"/>
    <w:link w:val="Heading2Char"/>
    <w:uiPriority w:val="9"/>
    <w:unhideWhenUsed/>
    <w:qFormat/>
    <w:rsid w:val="008D0F62"/>
    <w:pPr>
      <w:keepNext/>
      <w:keepLines/>
      <w:spacing w:before="200" w:after="0"/>
      <w:outlineLvl w:val="1"/>
    </w:pPr>
    <w:rPr>
      <w:rFonts w:asciiTheme="majorHAnsi" w:eastAsiaTheme="majorEastAsia" w:hAnsiTheme="majorHAnsi" w:cstheme="majorBidi"/>
      <w:b/>
      <w:bCs/>
      <w:color w:val="4F81BD" w:themeColor="accent1"/>
      <w:sz w:val="26"/>
      <w:szCs w:val="26"/>
      <w:lang w:val="da-DK" w:eastAsia="da-DK"/>
    </w:rPr>
  </w:style>
  <w:style w:type="paragraph" w:styleId="Heading3">
    <w:name w:val="heading 3"/>
    <w:basedOn w:val="Normal"/>
    <w:next w:val="Normal"/>
    <w:link w:val="Heading3Char"/>
    <w:uiPriority w:val="9"/>
    <w:semiHidden/>
    <w:unhideWhenUsed/>
    <w:qFormat/>
    <w:rsid w:val="00EE3B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2F"/>
    <w:rPr>
      <w:rFonts w:ascii="Tahoma" w:hAnsi="Tahoma" w:cs="Tahoma"/>
      <w:sz w:val="16"/>
      <w:szCs w:val="16"/>
    </w:rPr>
  </w:style>
  <w:style w:type="paragraph" w:styleId="Header">
    <w:name w:val="header"/>
    <w:basedOn w:val="Normal"/>
    <w:link w:val="HeaderChar"/>
    <w:unhideWhenUsed/>
    <w:rsid w:val="00F5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2F"/>
  </w:style>
  <w:style w:type="paragraph" w:styleId="Footer">
    <w:name w:val="footer"/>
    <w:basedOn w:val="Normal"/>
    <w:link w:val="FooterChar"/>
    <w:uiPriority w:val="99"/>
    <w:unhideWhenUsed/>
    <w:rsid w:val="00F5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2F"/>
  </w:style>
  <w:style w:type="paragraph" w:styleId="ListParagraph">
    <w:name w:val="List Paragraph"/>
    <w:basedOn w:val="Normal"/>
    <w:link w:val="ListParagraphChar"/>
    <w:uiPriority w:val="34"/>
    <w:qFormat/>
    <w:rsid w:val="00026C03"/>
    <w:pPr>
      <w:spacing w:after="0" w:line="240" w:lineRule="auto"/>
      <w:ind w:left="720"/>
      <w:contextualSpacing/>
    </w:pPr>
    <w:rPr>
      <w:lang w:val="en-GB"/>
    </w:rPr>
  </w:style>
  <w:style w:type="character" w:styleId="Strong">
    <w:name w:val="Strong"/>
    <w:basedOn w:val="DefaultParagraphFont"/>
    <w:uiPriority w:val="22"/>
    <w:qFormat/>
    <w:rsid w:val="00026C03"/>
    <w:rPr>
      <w:b/>
      <w:bCs/>
    </w:rPr>
  </w:style>
  <w:style w:type="paragraph" w:styleId="NormalWeb">
    <w:name w:val="Normal (Web)"/>
    <w:basedOn w:val="Normal"/>
    <w:uiPriority w:val="99"/>
    <w:semiHidden/>
    <w:unhideWhenUsed/>
    <w:rsid w:val="00026C03"/>
    <w:pPr>
      <w:spacing w:before="100" w:beforeAutospacing="1" w:after="100" w:afterAutospacing="1" w:line="240" w:lineRule="auto"/>
    </w:pPr>
    <w:rPr>
      <w:rFonts w:ascii="Times New Roman" w:hAnsi="Times New Roman" w:cs="Times New Roman"/>
      <w:sz w:val="24"/>
      <w:szCs w:val="24"/>
      <w:lang w:val="da-DK" w:eastAsia="da-DK"/>
    </w:rPr>
  </w:style>
  <w:style w:type="character" w:customStyle="1" w:styleId="Heading1Char">
    <w:name w:val="Heading 1 Char"/>
    <w:basedOn w:val="DefaultParagraphFont"/>
    <w:link w:val="Heading1"/>
    <w:uiPriority w:val="9"/>
    <w:rsid w:val="008D0F62"/>
    <w:rPr>
      <w:rFonts w:asciiTheme="majorHAnsi" w:eastAsiaTheme="majorEastAsia" w:hAnsiTheme="majorHAnsi" w:cstheme="majorBidi"/>
      <w:b/>
      <w:bCs/>
      <w:color w:val="365F91" w:themeColor="accent1" w:themeShade="BF"/>
      <w:sz w:val="28"/>
      <w:szCs w:val="28"/>
      <w:lang w:val="da-DK" w:eastAsia="da-DK"/>
    </w:rPr>
  </w:style>
  <w:style w:type="character" w:customStyle="1" w:styleId="Heading2Char">
    <w:name w:val="Heading 2 Char"/>
    <w:basedOn w:val="DefaultParagraphFont"/>
    <w:link w:val="Heading2"/>
    <w:uiPriority w:val="9"/>
    <w:rsid w:val="008D0F62"/>
    <w:rPr>
      <w:rFonts w:asciiTheme="majorHAnsi" w:eastAsiaTheme="majorEastAsia" w:hAnsiTheme="majorHAnsi" w:cstheme="majorBidi"/>
      <w:b/>
      <w:bCs/>
      <w:color w:val="4F81BD" w:themeColor="accent1"/>
      <w:sz w:val="26"/>
      <w:szCs w:val="26"/>
      <w:lang w:val="da-DK" w:eastAsia="da-DK"/>
    </w:rPr>
  </w:style>
  <w:style w:type="paragraph" w:styleId="Subtitle">
    <w:name w:val="Subtitle"/>
    <w:basedOn w:val="Normal"/>
    <w:next w:val="Normal"/>
    <w:link w:val="SubtitleChar"/>
    <w:uiPriority w:val="11"/>
    <w:qFormat/>
    <w:rsid w:val="008D0F62"/>
    <w:pPr>
      <w:numPr>
        <w:ilvl w:val="1"/>
      </w:numPr>
    </w:pPr>
    <w:rPr>
      <w:rFonts w:asciiTheme="majorHAnsi" w:eastAsiaTheme="majorEastAsia" w:hAnsiTheme="majorHAnsi" w:cstheme="majorBidi"/>
      <w:i/>
      <w:iCs/>
      <w:color w:val="4F81BD" w:themeColor="accent1"/>
      <w:spacing w:val="15"/>
      <w:sz w:val="24"/>
      <w:szCs w:val="24"/>
      <w:lang w:val="da-DK" w:eastAsia="da-DK"/>
    </w:rPr>
  </w:style>
  <w:style w:type="character" w:customStyle="1" w:styleId="SubtitleChar">
    <w:name w:val="Subtitle Char"/>
    <w:basedOn w:val="DefaultParagraphFont"/>
    <w:link w:val="Subtitle"/>
    <w:uiPriority w:val="11"/>
    <w:rsid w:val="008D0F62"/>
    <w:rPr>
      <w:rFonts w:asciiTheme="majorHAnsi" w:eastAsiaTheme="majorEastAsia" w:hAnsiTheme="majorHAnsi" w:cstheme="majorBidi"/>
      <w:i/>
      <w:iCs/>
      <w:color w:val="4F81BD" w:themeColor="accent1"/>
      <w:spacing w:val="15"/>
      <w:sz w:val="24"/>
      <w:szCs w:val="24"/>
      <w:lang w:val="da-DK" w:eastAsia="da-DK"/>
    </w:rPr>
  </w:style>
  <w:style w:type="paragraph" w:styleId="TOCHeading">
    <w:name w:val="TOC Heading"/>
    <w:basedOn w:val="Heading1"/>
    <w:next w:val="Normal"/>
    <w:uiPriority w:val="39"/>
    <w:semiHidden/>
    <w:unhideWhenUsed/>
    <w:qFormat/>
    <w:rsid w:val="008D0F62"/>
    <w:pPr>
      <w:outlineLvl w:val="9"/>
    </w:pPr>
    <w:rPr>
      <w:lang w:val="en-US"/>
    </w:rPr>
  </w:style>
  <w:style w:type="paragraph" w:styleId="TOC1">
    <w:name w:val="toc 1"/>
    <w:basedOn w:val="Normal"/>
    <w:next w:val="Normal"/>
    <w:autoRedefine/>
    <w:uiPriority w:val="39"/>
    <w:unhideWhenUsed/>
    <w:rsid w:val="008D0F62"/>
    <w:pPr>
      <w:spacing w:after="100"/>
    </w:pPr>
    <w:rPr>
      <w:rFonts w:eastAsiaTheme="minorEastAsia"/>
      <w:lang w:val="da-DK" w:eastAsia="da-DK"/>
    </w:rPr>
  </w:style>
  <w:style w:type="character" w:styleId="Hyperlink">
    <w:name w:val="Hyperlink"/>
    <w:basedOn w:val="DefaultParagraphFont"/>
    <w:uiPriority w:val="99"/>
    <w:unhideWhenUsed/>
    <w:rsid w:val="008D0F62"/>
    <w:rPr>
      <w:color w:val="0000FF" w:themeColor="hyperlink"/>
      <w:u w:val="single"/>
    </w:rPr>
  </w:style>
  <w:style w:type="paragraph" w:customStyle="1" w:styleId="Afsnitsnr-UK">
    <w:name w:val="Afsnitsnr.-UK"/>
    <w:basedOn w:val="Normal"/>
    <w:rsid w:val="000F42A6"/>
    <w:pPr>
      <w:numPr>
        <w:numId w:val="18"/>
      </w:numPr>
      <w:spacing w:after="290" w:line="240" w:lineRule="atLeast"/>
    </w:pPr>
    <w:rPr>
      <w:rFonts w:ascii="Georgia" w:eastAsia="Times New Roman" w:hAnsi="Georgia" w:cs="Times New Roman"/>
      <w:sz w:val="20"/>
      <w:szCs w:val="20"/>
      <w:lang w:val="en-GB"/>
    </w:rPr>
  </w:style>
  <w:style w:type="character" w:customStyle="1" w:styleId="TextMainCharCharCharCharChar">
    <w:name w:val="Text Main Char Char Char Char Char"/>
    <w:link w:val="TextMainCharCharCharChar"/>
    <w:uiPriority w:val="99"/>
    <w:locked/>
    <w:rsid w:val="00EE3BFA"/>
    <w:rPr>
      <w:rFonts w:ascii="Verdana" w:eastAsia="Times New Roman" w:hAnsi="Verdana" w:cs="Arial"/>
      <w:color w:val="000000"/>
      <w:sz w:val="16"/>
      <w:szCs w:val="16"/>
    </w:rPr>
  </w:style>
  <w:style w:type="paragraph" w:customStyle="1" w:styleId="TextMainCharCharCharChar">
    <w:name w:val="Text Main Char Char Char Char"/>
    <w:basedOn w:val="Normal"/>
    <w:link w:val="TextMainCharCharCharCharChar"/>
    <w:uiPriority w:val="99"/>
    <w:rsid w:val="00EE3BFA"/>
    <w:pPr>
      <w:widowControl w:val="0"/>
      <w:adjustRightInd w:val="0"/>
      <w:snapToGrid w:val="0"/>
      <w:spacing w:after="240" w:line="360" w:lineRule="atLeast"/>
      <w:jc w:val="both"/>
    </w:pPr>
    <w:rPr>
      <w:rFonts w:ascii="Verdana" w:eastAsia="Times New Roman" w:hAnsi="Verdana" w:cs="Arial"/>
      <w:color w:val="000000"/>
      <w:sz w:val="16"/>
      <w:szCs w:val="16"/>
    </w:rPr>
  </w:style>
  <w:style w:type="character" w:customStyle="1" w:styleId="Heading3Char">
    <w:name w:val="Heading 3 Char"/>
    <w:basedOn w:val="DefaultParagraphFont"/>
    <w:link w:val="Heading3"/>
    <w:uiPriority w:val="9"/>
    <w:semiHidden/>
    <w:rsid w:val="00EE3BFA"/>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EE3BFA"/>
    <w:rPr>
      <w:lang w:val="en-GB"/>
    </w:rPr>
  </w:style>
  <w:style w:type="paragraph" w:customStyle="1" w:styleId="TextMain">
    <w:name w:val="Text Main"/>
    <w:basedOn w:val="Normal"/>
    <w:uiPriority w:val="99"/>
    <w:rsid w:val="00EE3BFA"/>
    <w:pPr>
      <w:widowControl w:val="0"/>
      <w:adjustRightInd w:val="0"/>
      <w:snapToGrid w:val="0"/>
      <w:spacing w:after="240" w:line="360" w:lineRule="atLeast"/>
      <w:jc w:val="both"/>
    </w:pPr>
    <w:rPr>
      <w:rFonts w:ascii="Verdana" w:eastAsia="Times New Roman" w:hAnsi="Verdana" w:cs="Arial"/>
      <w:color w:val="000000"/>
      <w:sz w:val="18"/>
      <w:szCs w:val="16"/>
    </w:rPr>
  </w:style>
  <w:style w:type="paragraph" w:customStyle="1" w:styleId="BulletMain">
    <w:name w:val="Bullet Main"/>
    <w:basedOn w:val="Normal"/>
    <w:rsid w:val="00C62C39"/>
    <w:pPr>
      <w:widowControl w:val="0"/>
      <w:numPr>
        <w:numId w:val="34"/>
      </w:numPr>
      <w:autoSpaceDE w:val="0"/>
      <w:autoSpaceDN w:val="0"/>
      <w:adjustRightInd w:val="0"/>
      <w:spacing w:after="240" w:line="360" w:lineRule="atLeast"/>
      <w:jc w:val="both"/>
      <w:textAlignment w:val="baseline"/>
    </w:pPr>
    <w:rPr>
      <w:rFonts w:ascii="Verdana" w:eastAsia="Times New Roman" w:hAnsi="Verdana" w:cs="Arial"/>
      <w:sz w:val="18"/>
      <w:szCs w:val="18"/>
      <w:lang w:val="en-GB"/>
    </w:rPr>
  </w:style>
  <w:style w:type="paragraph" w:customStyle="1" w:styleId="Afsnitsnr">
    <w:name w:val="Afsnitsnr."/>
    <w:basedOn w:val="Normal"/>
    <w:rsid w:val="001647FF"/>
    <w:pPr>
      <w:spacing w:after="290" w:line="240" w:lineRule="atLeast"/>
    </w:pPr>
    <w:rPr>
      <w:rFonts w:ascii="Georgia" w:eastAsia="Times New Roman" w:hAnsi="Georgia" w:cs="Times New Roman"/>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6880">
      <w:bodyDiv w:val="1"/>
      <w:marLeft w:val="0"/>
      <w:marRight w:val="0"/>
      <w:marTop w:val="0"/>
      <w:marBottom w:val="0"/>
      <w:divBdr>
        <w:top w:val="none" w:sz="0" w:space="0" w:color="auto"/>
        <w:left w:val="none" w:sz="0" w:space="0" w:color="auto"/>
        <w:bottom w:val="none" w:sz="0" w:space="0" w:color="auto"/>
        <w:right w:val="none" w:sz="0" w:space="0" w:color="auto"/>
      </w:divBdr>
    </w:div>
    <w:div w:id="294026771">
      <w:bodyDiv w:val="1"/>
      <w:marLeft w:val="0"/>
      <w:marRight w:val="0"/>
      <w:marTop w:val="0"/>
      <w:marBottom w:val="0"/>
      <w:divBdr>
        <w:top w:val="none" w:sz="0" w:space="0" w:color="auto"/>
        <w:left w:val="none" w:sz="0" w:space="0" w:color="auto"/>
        <w:bottom w:val="none" w:sz="0" w:space="0" w:color="auto"/>
        <w:right w:val="none" w:sz="0" w:space="0" w:color="auto"/>
      </w:divBdr>
    </w:div>
    <w:div w:id="423961041">
      <w:bodyDiv w:val="1"/>
      <w:marLeft w:val="0"/>
      <w:marRight w:val="0"/>
      <w:marTop w:val="0"/>
      <w:marBottom w:val="0"/>
      <w:divBdr>
        <w:top w:val="none" w:sz="0" w:space="0" w:color="auto"/>
        <w:left w:val="none" w:sz="0" w:space="0" w:color="auto"/>
        <w:bottom w:val="none" w:sz="0" w:space="0" w:color="auto"/>
        <w:right w:val="none" w:sz="0" w:space="0" w:color="auto"/>
      </w:divBdr>
    </w:div>
    <w:div w:id="486018915">
      <w:bodyDiv w:val="1"/>
      <w:marLeft w:val="0"/>
      <w:marRight w:val="0"/>
      <w:marTop w:val="0"/>
      <w:marBottom w:val="0"/>
      <w:divBdr>
        <w:top w:val="none" w:sz="0" w:space="0" w:color="auto"/>
        <w:left w:val="none" w:sz="0" w:space="0" w:color="auto"/>
        <w:bottom w:val="none" w:sz="0" w:space="0" w:color="auto"/>
        <w:right w:val="none" w:sz="0" w:space="0" w:color="auto"/>
      </w:divBdr>
    </w:div>
    <w:div w:id="572814110">
      <w:bodyDiv w:val="1"/>
      <w:marLeft w:val="0"/>
      <w:marRight w:val="0"/>
      <w:marTop w:val="0"/>
      <w:marBottom w:val="0"/>
      <w:divBdr>
        <w:top w:val="none" w:sz="0" w:space="0" w:color="auto"/>
        <w:left w:val="none" w:sz="0" w:space="0" w:color="auto"/>
        <w:bottom w:val="none" w:sz="0" w:space="0" w:color="auto"/>
        <w:right w:val="none" w:sz="0" w:space="0" w:color="auto"/>
      </w:divBdr>
    </w:div>
    <w:div w:id="852302960">
      <w:bodyDiv w:val="1"/>
      <w:marLeft w:val="0"/>
      <w:marRight w:val="0"/>
      <w:marTop w:val="0"/>
      <w:marBottom w:val="0"/>
      <w:divBdr>
        <w:top w:val="none" w:sz="0" w:space="0" w:color="auto"/>
        <w:left w:val="none" w:sz="0" w:space="0" w:color="auto"/>
        <w:bottom w:val="none" w:sz="0" w:space="0" w:color="auto"/>
        <w:right w:val="none" w:sz="0" w:space="0" w:color="auto"/>
      </w:divBdr>
    </w:div>
    <w:div w:id="968165098">
      <w:bodyDiv w:val="1"/>
      <w:marLeft w:val="0"/>
      <w:marRight w:val="0"/>
      <w:marTop w:val="0"/>
      <w:marBottom w:val="0"/>
      <w:divBdr>
        <w:top w:val="none" w:sz="0" w:space="0" w:color="auto"/>
        <w:left w:val="none" w:sz="0" w:space="0" w:color="auto"/>
        <w:bottom w:val="none" w:sz="0" w:space="0" w:color="auto"/>
        <w:right w:val="none" w:sz="0" w:space="0" w:color="auto"/>
      </w:divBdr>
    </w:div>
    <w:div w:id="1139568537">
      <w:bodyDiv w:val="1"/>
      <w:marLeft w:val="0"/>
      <w:marRight w:val="0"/>
      <w:marTop w:val="0"/>
      <w:marBottom w:val="0"/>
      <w:divBdr>
        <w:top w:val="none" w:sz="0" w:space="0" w:color="auto"/>
        <w:left w:val="none" w:sz="0" w:space="0" w:color="auto"/>
        <w:bottom w:val="none" w:sz="0" w:space="0" w:color="auto"/>
        <w:right w:val="none" w:sz="0" w:space="0" w:color="auto"/>
      </w:divBdr>
    </w:div>
    <w:div w:id="1152600446">
      <w:bodyDiv w:val="1"/>
      <w:marLeft w:val="0"/>
      <w:marRight w:val="0"/>
      <w:marTop w:val="0"/>
      <w:marBottom w:val="0"/>
      <w:divBdr>
        <w:top w:val="none" w:sz="0" w:space="0" w:color="auto"/>
        <w:left w:val="none" w:sz="0" w:space="0" w:color="auto"/>
        <w:bottom w:val="none" w:sz="0" w:space="0" w:color="auto"/>
        <w:right w:val="none" w:sz="0" w:space="0" w:color="auto"/>
      </w:divBdr>
    </w:div>
    <w:div w:id="1208109589">
      <w:bodyDiv w:val="1"/>
      <w:marLeft w:val="0"/>
      <w:marRight w:val="0"/>
      <w:marTop w:val="0"/>
      <w:marBottom w:val="0"/>
      <w:divBdr>
        <w:top w:val="none" w:sz="0" w:space="0" w:color="auto"/>
        <w:left w:val="none" w:sz="0" w:space="0" w:color="auto"/>
        <w:bottom w:val="none" w:sz="0" w:space="0" w:color="auto"/>
        <w:right w:val="none" w:sz="0" w:space="0" w:color="auto"/>
      </w:divBdr>
    </w:div>
    <w:div w:id="1230579824">
      <w:bodyDiv w:val="1"/>
      <w:marLeft w:val="0"/>
      <w:marRight w:val="0"/>
      <w:marTop w:val="0"/>
      <w:marBottom w:val="0"/>
      <w:divBdr>
        <w:top w:val="none" w:sz="0" w:space="0" w:color="auto"/>
        <w:left w:val="none" w:sz="0" w:space="0" w:color="auto"/>
        <w:bottom w:val="none" w:sz="0" w:space="0" w:color="auto"/>
        <w:right w:val="none" w:sz="0" w:space="0" w:color="auto"/>
      </w:divBdr>
    </w:div>
    <w:div w:id="1411467520">
      <w:bodyDiv w:val="1"/>
      <w:marLeft w:val="0"/>
      <w:marRight w:val="0"/>
      <w:marTop w:val="0"/>
      <w:marBottom w:val="0"/>
      <w:divBdr>
        <w:top w:val="none" w:sz="0" w:space="0" w:color="auto"/>
        <w:left w:val="none" w:sz="0" w:space="0" w:color="auto"/>
        <w:bottom w:val="none" w:sz="0" w:space="0" w:color="auto"/>
        <w:right w:val="none" w:sz="0" w:space="0" w:color="auto"/>
      </w:divBdr>
    </w:div>
    <w:div w:id="1587154987">
      <w:bodyDiv w:val="1"/>
      <w:marLeft w:val="0"/>
      <w:marRight w:val="0"/>
      <w:marTop w:val="0"/>
      <w:marBottom w:val="0"/>
      <w:divBdr>
        <w:top w:val="none" w:sz="0" w:space="0" w:color="auto"/>
        <w:left w:val="none" w:sz="0" w:space="0" w:color="auto"/>
        <w:bottom w:val="none" w:sz="0" w:space="0" w:color="auto"/>
        <w:right w:val="none" w:sz="0" w:space="0" w:color="auto"/>
      </w:divBdr>
    </w:div>
    <w:div w:id="20732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dicshipholding.com/governance.cfm" TargetMode="External"/><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61" Type="http://schemas.openxmlformats.org/officeDocument/2006/relationships/image" Target="media/image51.emf"/><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nordicshipholding.com" TargetMode="Externa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8" Type="http://schemas.openxmlformats.org/officeDocument/2006/relationships/endnotes" Target="endnotes.xml"/><Relationship Id="rId51" Type="http://schemas.openxmlformats.org/officeDocument/2006/relationships/image" Target="media/image41.e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2CEE-8638-4F8D-AB2D-FBC8F85C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15592</Words>
  <Characters>95114</Characters>
  <Application>Microsoft Office Word</Application>
  <DocSecurity>0</DocSecurity>
  <Lines>792</Lines>
  <Paragraphs>220</Paragraphs>
  <ScaleCrop>false</ScaleCrop>
  <HeadingPairs>
    <vt:vector size="2" baseType="variant">
      <vt:variant>
        <vt:lpstr>Title</vt:lpstr>
      </vt:variant>
      <vt:variant>
        <vt:i4>1</vt:i4>
      </vt:variant>
    </vt:vector>
  </HeadingPairs>
  <TitlesOfParts>
    <vt:vector size="1" baseType="lpstr">
      <vt:lpstr/>
    </vt:vector>
  </TitlesOfParts>
  <Company>Hafnia Management A/S</Company>
  <LinksUpToDate>false</LinksUpToDate>
  <CharactersWithSpaces>110486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Bager</dc:creator>
  <cp:lastModifiedBy>Michael Allingbjerg</cp:lastModifiedBy>
  <cp:revision>2</cp:revision>
  <cp:lastPrinted>2014-03-11T15:38:00Z</cp:lastPrinted>
  <dcterms:created xsi:type="dcterms:W3CDTF">2014-03-11T18:42:00Z</dcterms:created>
  <dcterms:modified xsi:type="dcterms:W3CDTF">2014-03-11T18:42:00Z</dcterms:modified>
</cp:coreProperties>
</file>